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1BCFE" w14:textId="77777777" w:rsidR="00C0587D" w:rsidRDefault="00C0587D" w:rsidP="00325501">
      <w:pPr>
        <w:spacing w:after="0"/>
        <w:rPr>
          <w:b/>
          <w:bCs/>
          <w:sz w:val="28"/>
          <w:szCs w:val="28"/>
        </w:rPr>
      </w:pPr>
      <w:bookmarkStart w:id="0" w:name="_GoBack"/>
      <w:bookmarkEnd w:id="0"/>
    </w:p>
    <w:p w14:paraId="585933AA" w14:textId="32BD5436" w:rsidR="006D017C" w:rsidRDefault="006D017C" w:rsidP="00325501">
      <w:pPr>
        <w:spacing w:after="0"/>
        <w:rPr>
          <w:b/>
          <w:bCs/>
          <w:sz w:val="40"/>
          <w:szCs w:val="40"/>
        </w:rPr>
      </w:pPr>
      <w:r w:rsidRPr="00C0587D">
        <w:rPr>
          <w:b/>
          <w:bCs/>
          <w:sz w:val="40"/>
          <w:szCs w:val="40"/>
        </w:rPr>
        <w:t xml:space="preserve">ACGR Good Practice Guidelines for </w:t>
      </w:r>
    </w:p>
    <w:p w14:paraId="24546353" w14:textId="54733A79" w:rsidR="00F02C94" w:rsidRDefault="00F02C94" w:rsidP="00325501">
      <w:pPr>
        <w:spacing w:after="0"/>
        <w:rPr>
          <w:b/>
          <w:bCs/>
          <w:sz w:val="40"/>
          <w:szCs w:val="40"/>
        </w:rPr>
      </w:pPr>
    </w:p>
    <w:p w14:paraId="34E21DD1" w14:textId="77777777" w:rsidR="00F02C94" w:rsidRPr="00C0587D" w:rsidRDefault="00F02C94" w:rsidP="00F02C94">
      <w:pPr>
        <w:rPr>
          <w:b/>
          <w:bCs/>
          <w:sz w:val="96"/>
          <w:szCs w:val="96"/>
        </w:rPr>
      </w:pPr>
      <w:r w:rsidRPr="00F02C94">
        <w:rPr>
          <w:b/>
          <w:bCs/>
          <w:sz w:val="96"/>
          <w:szCs w:val="96"/>
        </w:rPr>
        <w:t>Graduate Research Governance and Management</w:t>
      </w:r>
    </w:p>
    <w:p w14:paraId="63970D32" w14:textId="77777777" w:rsidR="00F02C94" w:rsidRPr="00C0587D" w:rsidRDefault="00F02C94" w:rsidP="00325501">
      <w:pPr>
        <w:spacing w:after="0"/>
        <w:rPr>
          <w:b/>
          <w:bCs/>
          <w:sz w:val="40"/>
          <w:szCs w:val="40"/>
        </w:rPr>
      </w:pPr>
    </w:p>
    <w:p w14:paraId="4E763EAE" w14:textId="384CDF01" w:rsidR="006D017C" w:rsidRPr="00C0587D" w:rsidRDefault="006D017C" w:rsidP="006D017C">
      <w:pPr>
        <w:rPr>
          <w:sz w:val="28"/>
          <w:szCs w:val="28"/>
        </w:rPr>
      </w:pPr>
      <w:r w:rsidRPr="00C0587D">
        <w:rPr>
          <w:sz w:val="28"/>
          <w:szCs w:val="28"/>
        </w:rPr>
        <w:t>Version</w:t>
      </w:r>
      <w:r w:rsidR="00F02C94">
        <w:rPr>
          <w:sz w:val="28"/>
          <w:szCs w:val="28"/>
        </w:rPr>
        <w:t>1: March 2022</w:t>
      </w:r>
    </w:p>
    <w:p w14:paraId="1A16EB57" w14:textId="7C4F3A46" w:rsidR="00BA0BE7" w:rsidRDefault="00BA0BE7" w:rsidP="0010443C">
      <w:pPr>
        <w:autoSpaceDE w:val="0"/>
        <w:autoSpaceDN w:val="0"/>
        <w:adjustRightInd w:val="0"/>
        <w:spacing w:after="0" w:line="240" w:lineRule="auto"/>
        <w:rPr>
          <w:rFonts w:ascii="Calibri" w:hAnsi="Calibri" w:cs="Calibri"/>
          <w:b/>
          <w:bCs/>
          <w:sz w:val="24"/>
          <w:szCs w:val="24"/>
        </w:rPr>
      </w:pPr>
    </w:p>
    <w:p w14:paraId="50891E4C" w14:textId="77777777" w:rsidR="00970FE4" w:rsidRDefault="00970FE4" w:rsidP="00970FE4">
      <w:pPr>
        <w:pStyle w:val="ACGRHeading1"/>
        <w:sectPr w:rsidR="00970FE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031F1FF0" w14:textId="66A847C1" w:rsidR="00F02C94" w:rsidRPr="00403960" w:rsidRDefault="00C0587D" w:rsidP="0073016E">
      <w:pPr>
        <w:pStyle w:val="ACGRHeading1"/>
      </w:pPr>
      <w:r>
        <w:lastRenderedPageBreak/>
        <w:t>Introduction</w:t>
      </w:r>
    </w:p>
    <w:p w14:paraId="5C18DBC1" w14:textId="77777777" w:rsidR="00F02C94" w:rsidRDefault="00F02C94" w:rsidP="00F02C94">
      <w:pPr>
        <w:spacing w:before="100" w:beforeAutospacing="1" w:after="100" w:afterAutospacing="1" w:line="240" w:lineRule="auto"/>
        <w:jc w:val="both"/>
        <w:rPr>
          <w:rFonts w:eastAsia="Times New Roman" w:cstheme="minorHAnsi"/>
          <w:lang w:eastAsia="en-GB"/>
        </w:rPr>
      </w:pPr>
      <w:r w:rsidRPr="005D7419">
        <w:rPr>
          <w:rFonts w:eastAsia="Times New Roman" w:cstheme="minorHAnsi"/>
          <w:color w:val="000000"/>
          <w:lang w:eastAsia="en-GB"/>
        </w:rPr>
        <w:t xml:space="preserve">The Higher Education Standards Framework (Threshold Standards) </w:t>
      </w:r>
      <w:r w:rsidRPr="005D7419">
        <w:rPr>
          <w:rFonts w:eastAsia="Times New Roman" w:cstheme="minorHAnsi"/>
          <w:lang w:eastAsia="en-GB"/>
        </w:rPr>
        <w:t xml:space="preserve">represents the definitive set of requirements for Australian higher education providers. The Standards must be met for a university to be registered in Australia as a provider of higher education. They protect the quality and reputation of the sector and build operational excellence. </w:t>
      </w:r>
    </w:p>
    <w:p w14:paraId="40B36357" w14:textId="3A09A186" w:rsidR="00F02C94" w:rsidRDefault="00F02C94" w:rsidP="00F02C94">
      <w:p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Graduate research education and program</w:t>
      </w:r>
      <w:r w:rsidRPr="005D7419">
        <w:rPr>
          <w:rFonts w:eastAsia="Times New Roman" w:cstheme="minorHAnsi"/>
          <w:lang w:eastAsia="en-GB"/>
        </w:rPr>
        <w:t xml:space="preserve"> delivery is a responsibility that is shared across many organisational units across a university. This includes academic organisational units (Schools and Institutes, for example), Faculties and central divisions, often Graduate Schools. Governance and management </w:t>
      </w:r>
      <w:r>
        <w:rPr>
          <w:rFonts w:eastAsia="Times New Roman" w:cstheme="minorHAnsi"/>
          <w:lang w:eastAsia="en-GB"/>
        </w:rPr>
        <w:t>of graduate research</w:t>
      </w:r>
      <w:r w:rsidRPr="005D7419">
        <w:rPr>
          <w:rFonts w:eastAsia="Times New Roman" w:cstheme="minorHAnsi"/>
          <w:lang w:eastAsia="en-GB"/>
        </w:rPr>
        <w:t xml:space="preserve"> can be highly devolved or centralised, depending on the Institution, but they are all subject to the same HES Framework.</w:t>
      </w:r>
      <w:r>
        <w:rPr>
          <w:rFonts w:eastAsia="Times New Roman" w:cstheme="minorHAnsi"/>
          <w:lang w:eastAsia="en-GB"/>
        </w:rPr>
        <w:t xml:space="preserve"> Similarly, the Commonwealth Research Training Program provides funding that underpins graduate research education, with attendant legislative requirements. </w:t>
      </w:r>
      <w:r w:rsidR="00580B04">
        <w:rPr>
          <w:rFonts w:eastAsia="Times New Roman" w:cstheme="minorHAnsi"/>
          <w:lang w:eastAsia="en-GB"/>
        </w:rPr>
        <w:t>The governance and management of graduate research education must also ensure that the providers abide by the rigorous standards imposed by the Code for the Responsible Conduct of Research and academic integrity.</w:t>
      </w:r>
    </w:p>
    <w:p w14:paraId="3CF6E47C" w14:textId="77777777" w:rsidR="00F02C94" w:rsidRPr="005D7419" w:rsidRDefault="00F02C94" w:rsidP="00F02C94">
      <w:pPr>
        <w:spacing w:before="100" w:beforeAutospacing="1" w:after="100" w:afterAutospacing="1" w:line="240" w:lineRule="auto"/>
        <w:jc w:val="both"/>
        <w:rPr>
          <w:rFonts w:eastAsia="Times New Roman" w:cstheme="minorHAnsi"/>
          <w:lang w:eastAsia="en-GB"/>
        </w:rPr>
      </w:pPr>
      <w:r w:rsidRPr="005D7419">
        <w:rPr>
          <w:rFonts w:eastAsia="Times New Roman" w:cstheme="minorHAnsi"/>
          <w:lang w:eastAsia="en-GB"/>
        </w:rPr>
        <w:t xml:space="preserve">These guidelines aim to support higher education providers to meet </w:t>
      </w:r>
      <w:r>
        <w:rPr>
          <w:rFonts w:eastAsia="Times New Roman" w:cstheme="minorHAnsi"/>
          <w:lang w:eastAsia="en-GB"/>
        </w:rPr>
        <w:t>institutional, national and international</w:t>
      </w:r>
      <w:r w:rsidRPr="005D7419">
        <w:rPr>
          <w:rFonts w:eastAsia="Times New Roman" w:cstheme="minorHAnsi"/>
          <w:lang w:eastAsia="en-GB"/>
        </w:rPr>
        <w:t xml:space="preserve"> expectations in </w:t>
      </w:r>
      <w:r>
        <w:rPr>
          <w:rFonts w:eastAsia="Times New Roman" w:cstheme="minorHAnsi"/>
          <w:lang w:eastAsia="en-GB"/>
        </w:rPr>
        <w:t>graduate research education</w:t>
      </w:r>
      <w:r w:rsidRPr="005D7419">
        <w:rPr>
          <w:rFonts w:eastAsia="Times New Roman" w:cstheme="minorHAnsi"/>
          <w:lang w:eastAsia="en-GB"/>
        </w:rPr>
        <w:t xml:space="preserve"> </w:t>
      </w:r>
      <w:r>
        <w:rPr>
          <w:rFonts w:eastAsia="Times New Roman" w:cstheme="minorHAnsi"/>
          <w:lang w:eastAsia="en-GB"/>
        </w:rPr>
        <w:t>p</w:t>
      </w:r>
      <w:r w:rsidRPr="005D7419">
        <w:rPr>
          <w:rFonts w:eastAsia="Times New Roman" w:cstheme="minorHAnsi"/>
          <w:lang w:eastAsia="en-GB"/>
        </w:rPr>
        <w:t xml:space="preserve">rogram </w:t>
      </w:r>
      <w:r>
        <w:rPr>
          <w:rFonts w:eastAsia="Times New Roman" w:cstheme="minorHAnsi"/>
          <w:lang w:eastAsia="en-GB"/>
        </w:rPr>
        <w:t>design, d</w:t>
      </w:r>
      <w:r w:rsidRPr="005D7419">
        <w:rPr>
          <w:rFonts w:eastAsia="Times New Roman" w:cstheme="minorHAnsi"/>
          <w:lang w:eastAsia="en-GB"/>
        </w:rPr>
        <w:t>elivery</w:t>
      </w:r>
      <w:r>
        <w:rPr>
          <w:rFonts w:eastAsia="Times New Roman" w:cstheme="minorHAnsi"/>
          <w:lang w:eastAsia="en-GB"/>
        </w:rPr>
        <w:t xml:space="preserve"> and quality assurance.</w:t>
      </w:r>
    </w:p>
    <w:p w14:paraId="47CB1515" w14:textId="69BB979D" w:rsidR="007C7B0F" w:rsidRDefault="007C7B0F" w:rsidP="007C7B0F">
      <w:pPr>
        <w:pStyle w:val="ACGRHeading2"/>
      </w:pPr>
      <w:r>
        <w:t>Using the Guidelines</w:t>
      </w:r>
    </w:p>
    <w:p w14:paraId="4C158F67" w14:textId="363B2CE1" w:rsidR="00A7539D" w:rsidRDefault="00A7539D" w:rsidP="00A7539D">
      <w:p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 xml:space="preserve">The </w:t>
      </w:r>
      <w:r w:rsidRPr="005817B0">
        <w:rPr>
          <w:rFonts w:eastAsia="Times New Roman" w:cstheme="minorHAnsi"/>
          <w:i/>
          <w:iCs/>
          <w:lang w:eastAsia="en-GB"/>
        </w:rPr>
        <w:t>ACGR Good Practice Guidelines for Graduate Research Governance and Management</w:t>
      </w:r>
      <w:r>
        <w:rPr>
          <w:rFonts w:eastAsia="Times New Roman" w:cstheme="minorHAnsi"/>
          <w:lang w:eastAsia="en-GB"/>
        </w:rPr>
        <w:t xml:space="preserve"> support a pluralistic approach to assuring sound governance and management of graduate research education. Whilst</w:t>
      </w:r>
      <w:r w:rsidRPr="005D7419">
        <w:rPr>
          <w:rFonts w:eastAsia="Times New Roman" w:cstheme="minorHAnsi"/>
          <w:lang w:eastAsia="en-GB"/>
        </w:rPr>
        <w:t xml:space="preserve"> the degree of centralisation of the key processes associated with </w:t>
      </w:r>
      <w:r>
        <w:rPr>
          <w:rFonts w:eastAsia="Times New Roman" w:cstheme="minorHAnsi"/>
          <w:lang w:eastAsia="en-GB"/>
        </w:rPr>
        <w:t>graduate research</w:t>
      </w:r>
      <w:r w:rsidRPr="005D7419">
        <w:rPr>
          <w:rFonts w:eastAsia="Times New Roman" w:cstheme="minorHAnsi"/>
          <w:lang w:eastAsia="en-GB"/>
        </w:rPr>
        <w:t xml:space="preserve"> varies across </w:t>
      </w:r>
      <w:r>
        <w:rPr>
          <w:rFonts w:eastAsia="Times New Roman" w:cstheme="minorHAnsi"/>
          <w:lang w:eastAsia="en-GB"/>
        </w:rPr>
        <w:t>institutions,</w:t>
      </w:r>
      <w:r w:rsidRPr="0023483E">
        <w:rPr>
          <w:rFonts w:eastAsia="Times New Roman" w:cstheme="minorHAnsi"/>
          <w:lang w:eastAsia="en-GB"/>
        </w:rPr>
        <w:t xml:space="preserve"> </w:t>
      </w:r>
      <w:r w:rsidRPr="005D7419">
        <w:rPr>
          <w:rFonts w:eastAsia="Times New Roman" w:cstheme="minorHAnsi"/>
          <w:lang w:eastAsia="en-GB"/>
        </w:rPr>
        <w:t xml:space="preserve">it is essential that </w:t>
      </w:r>
      <w:r>
        <w:rPr>
          <w:rFonts w:eastAsia="Times New Roman" w:cstheme="minorHAnsi"/>
          <w:lang w:eastAsia="en-GB"/>
        </w:rPr>
        <w:t>each university has</w:t>
      </w:r>
      <w:r w:rsidRPr="005D7419">
        <w:rPr>
          <w:rFonts w:eastAsia="Times New Roman" w:cstheme="minorHAnsi"/>
          <w:lang w:eastAsia="en-GB"/>
        </w:rPr>
        <w:t xml:space="preserve"> a clear governance framework that identifies where authority in decision making and responsibility in documentation and reporting lies</w:t>
      </w:r>
      <w:r>
        <w:rPr>
          <w:rFonts w:eastAsia="Times New Roman" w:cstheme="minorHAnsi"/>
          <w:lang w:eastAsia="en-GB"/>
        </w:rPr>
        <w:t>.</w:t>
      </w:r>
      <w:r w:rsidRPr="005D7419">
        <w:rPr>
          <w:rFonts w:eastAsia="Times New Roman" w:cstheme="minorHAnsi"/>
          <w:lang w:eastAsia="en-GB"/>
        </w:rPr>
        <w:t xml:space="preserve"> </w:t>
      </w:r>
      <w:r>
        <w:rPr>
          <w:rFonts w:eastAsia="Times New Roman" w:cstheme="minorHAnsi"/>
          <w:lang w:eastAsia="en-GB"/>
        </w:rPr>
        <w:t xml:space="preserve"> </w:t>
      </w:r>
      <w:r w:rsidRPr="005D7419">
        <w:rPr>
          <w:rFonts w:eastAsia="Times New Roman" w:cstheme="minorHAnsi"/>
          <w:lang w:eastAsia="en-GB"/>
        </w:rPr>
        <w:t xml:space="preserve"> </w:t>
      </w:r>
      <w:r>
        <w:rPr>
          <w:rFonts w:eastAsia="Times New Roman" w:cstheme="minorHAnsi"/>
          <w:lang w:eastAsia="en-GB"/>
        </w:rPr>
        <w:t xml:space="preserve">These guidelines identify the key matters for consideration when determining appropriate delegations of authority </w:t>
      </w:r>
      <w:proofErr w:type="gramStart"/>
      <w:r>
        <w:rPr>
          <w:rFonts w:eastAsia="Times New Roman" w:cstheme="minorHAnsi"/>
          <w:lang w:eastAsia="en-GB"/>
        </w:rPr>
        <w:t xml:space="preserve">and </w:t>
      </w:r>
      <w:r w:rsidRPr="005D7419">
        <w:rPr>
          <w:rFonts w:eastAsia="Times New Roman" w:cstheme="minorHAnsi"/>
          <w:lang w:eastAsia="en-GB"/>
        </w:rPr>
        <w:t xml:space="preserve"> </w:t>
      </w:r>
      <w:r>
        <w:rPr>
          <w:rFonts w:eastAsia="Times New Roman" w:cstheme="minorHAnsi"/>
          <w:lang w:eastAsia="en-GB"/>
        </w:rPr>
        <w:t>organisational</w:t>
      </w:r>
      <w:proofErr w:type="gramEnd"/>
      <w:r>
        <w:rPr>
          <w:rFonts w:eastAsia="Times New Roman" w:cstheme="minorHAnsi"/>
          <w:lang w:eastAsia="en-GB"/>
        </w:rPr>
        <w:t xml:space="preserve"> structures for the management of graduate research programs at each university.</w:t>
      </w:r>
    </w:p>
    <w:p w14:paraId="722B3C2E" w14:textId="2FABAD4B" w:rsidR="00A7539D" w:rsidRPr="005D7419" w:rsidRDefault="00A7539D" w:rsidP="00A7539D">
      <w:pPr>
        <w:spacing w:before="100" w:beforeAutospacing="1" w:after="100" w:afterAutospacing="1" w:line="240" w:lineRule="auto"/>
        <w:jc w:val="both"/>
        <w:rPr>
          <w:rFonts w:eastAsia="Times New Roman" w:cstheme="minorHAnsi"/>
          <w:lang w:eastAsia="en-GB"/>
        </w:rPr>
      </w:pPr>
      <w:r w:rsidRPr="005817B0">
        <w:rPr>
          <w:rFonts w:eastAsia="Times New Roman" w:cstheme="minorHAnsi"/>
          <w:lang w:eastAsia="en-GB"/>
        </w:rPr>
        <w:t xml:space="preserve">This document is part of a suite of Good Practice Guidelines that are designed to support institutions as they develop their strategies and processes in particular important areas of operation. They support the </w:t>
      </w:r>
      <w:r w:rsidRPr="005817B0">
        <w:rPr>
          <w:rFonts w:eastAsia="Times New Roman" w:cstheme="minorHAnsi"/>
          <w:i/>
          <w:iCs/>
          <w:lang w:eastAsia="en-GB"/>
        </w:rPr>
        <w:t>Australian Graduate Research Good Practice Principles</w:t>
      </w:r>
      <w:r w:rsidRPr="005817B0">
        <w:rPr>
          <w:rFonts w:eastAsia="Times New Roman" w:cstheme="minorHAnsi"/>
          <w:lang w:eastAsia="en-GB"/>
        </w:rPr>
        <w:t xml:space="preserve"> which articulate a set of standards considered to be essential for the delivery of graduate research programs. </w:t>
      </w:r>
    </w:p>
    <w:p w14:paraId="2E71D9F5" w14:textId="7FB0A1C6" w:rsidR="007C7B0F" w:rsidRDefault="007C7B0F" w:rsidP="007C7B0F">
      <w:pPr>
        <w:pStyle w:val="ACGRBody"/>
      </w:pPr>
    </w:p>
    <w:p w14:paraId="58398CA8" w14:textId="62992CFE" w:rsidR="00325501" w:rsidRPr="00403960" w:rsidRDefault="00325501" w:rsidP="0073016E">
      <w:pPr>
        <w:pStyle w:val="ACGRHeading1"/>
      </w:pPr>
      <w:r>
        <w:br w:type="page"/>
      </w:r>
      <w:r>
        <w:lastRenderedPageBreak/>
        <w:t>Recommendations</w:t>
      </w:r>
    </w:p>
    <w:p w14:paraId="7C15CA58" w14:textId="33CB3027" w:rsidR="00325501" w:rsidRPr="00403960" w:rsidRDefault="00A7539D" w:rsidP="0073016E">
      <w:pPr>
        <w:pStyle w:val="ACGRHeading2"/>
      </w:pPr>
      <w:r>
        <w:t xml:space="preserve">Design and authority  </w:t>
      </w:r>
    </w:p>
    <w:p w14:paraId="2E605B33" w14:textId="150325C2" w:rsidR="00A7539D" w:rsidRDefault="00A7539D" w:rsidP="00883FC1">
      <w:pPr>
        <w:pStyle w:val="ListParagraph"/>
        <w:numPr>
          <w:ilvl w:val="0"/>
          <w:numId w:val="25"/>
        </w:numPr>
        <w:spacing w:before="100" w:beforeAutospacing="1" w:after="100" w:afterAutospacing="1" w:line="240" w:lineRule="auto"/>
        <w:jc w:val="both"/>
        <w:rPr>
          <w:rFonts w:eastAsia="Times New Roman" w:cstheme="minorHAnsi"/>
          <w:lang w:eastAsia="en-GB"/>
        </w:rPr>
      </w:pPr>
      <w:r w:rsidRPr="00F02C94">
        <w:rPr>
          <w:rFonts w:eastAsia="Times New Roman" w:cstheme="minorHAnsi"/>
          <w:lang w:eastAsia="en-GB"/>
        </w:rPr>
        <w:t>The authorities, policies and procedures in place to manage graduate research education should ensure transparency, consistency and equitable access across the institution for all candidates and supervisors whilst allowing for appropriate disciplinary differences in research methodologies and outputs.</w:t>
      </w:r>
    </w:p>
    <w:p w14:paraId="5909279F" w14:textId="77777777" w:rsidR="009C21ED" w:rsidRPr="00F02C94" w:rsidRDefault="009C21ED" w:rsidP="009C21ED">
      <w:pPr>
        <w:pStyle w:val="ListParagraph"/>
        <w:numPr>
          <w:ilvl w:val="0"/>
          <w:numId w:val="25"/>
        </w:numPr>
        <w:spacing w:before="100" w:beforeAutospacing="1" w:after="100" w:afterAutospacing="1" w:line="240" w:lineRule="auto"/>
        <w:jc w:val="both"/>
        <w:rPr>
          <w:rFonts w:eastAsia="Times New Roman" w:cstheme="minorHAnsi"/>
          <w:lang w:eastAsia="en-GB"/>
        </w:rPr>
      </w:pPr>
      <w:r w:rsidRPr="00F02C94">
        <w:rPr>
          <w:rFonts w:eastAsia="Times New Roman" w:cstheme="minorHAnsi"/>
          <w:lang w:eastAsia="en-GB"/>
        </w:rPr>
        <w:t>Universities should clearly articulate and promote the responsibilities and rights of each of the stakeholders in graduate research provision (candidates, supervisors, schools/faculties and other academic units and central support services including graduate schools and offices)</w:t>
      </w:r>
    </w:p>
    <w:p w14:paraId="6C5C9B6A" w14:textId="1F8529DC" w:rsidR="004352DC" w:rsidRPr="00883FC1" w:rsidRDefault="00FF3FF9" w:rsidP="00883FC1">
      <w:pPr>
        <w:pStyle w:val="ListParagraph"/>
        <w:numPr>
          <w:ilvl w:val="0"/>
          <w:numId w:val="25"/>
        </w:numPr>
        <w:spacing w:before="100" w:beforeAutospacing="1" w:after="100" w:afterAutospacing="1" w:line="240" w:lineRule="auto"/>
        <w:jc w:val="both"/>
        <w:rPr>
          <w:rFonts w:eastAsia="Times New Roman" w:cstheme="minorHAnsi"/>
          <w:lang w:eastAsia="en-GB"/>
        </w:rPr>
      </w:pPr>
      <w:r w:rsidRPr="00883FC1">
        <w:rPr>
          <w:rFonts w:eastAsia="Times New Roman" w:cstheme="minorHAnsi"/>
          <w:lang w:eastAsia="en-GB"/>
        </w:rPr>
        <w:t xml:space="preserve">Universities should include in their academic governance structure a senior appointment with institutional responsibility for graduate research education who will work closely with </w:t>
      </w:r>
      <w:r w:rsidR="004352DC" w:rsidRPr="00883FC1">
        <w:rPr>
          <w:rFonts w:eastAsia="Times New Roman" w:cstheme="minorHAnsi"/>
          <w:lang w:eastAsia="en-GB"/>
        </w:rPr>
        <w:t xml:space="preserve">academic organisational units (faculties and schools) to protect the quality and reputation of their graduate research provision and ensure operational effectiveness. </w:t>
      </w:r>
    </w:p>
    <w:p w14:paraId="52A3980A" w14:textId="1D9A65EE" w:rsidR="004352DC" w:rsidRPr="00883FC1" w:rsidRDefault="004352DC" w:rsidP="00883FC1">
      <w:pPr>
        <w:pStyle w:val="ListParagraph"/>
        <w:numPr>
          <w:ilvl w:val="0"/>
          <w:numId w:val="25"/>
        </w:numPr>
        <w:spacing w:before="100" w:beforeAutospacing="1" w:after="100" w:afterAutospacing="1" w:line="240" w:lineRule="auto"/>
        <w:jc w:val="both"/>
        <w:rPr>
          <w:rFonts w:eastAsia="Times New Roman" w:cstheme="minorHAnsi"/>
          <w:lang w:eastAsia="en-GB"/>
        </w:rPr>
      </w:pPr>
      <w:r w:rsidRPr="00883FC1">
        <w:rPr>
          <w:rFonts w:eastAsia="Times New Roman" w:cstheme="minorHAnsi"/>
          <w:lang w:eastAsia="en-GB"/>
        </w:rPr>
        <w:t>Appropriate levels of professional and administrative support should be provided to facilitate operational effectiveness in graduate research management.</w:t>
      </w:r>
    </w:p>
    <w:p w14:paraId="34CC31EF" w14:textId="37058FD2" w:rsidR="00A7539D" w:rsidRPr="00883FC1" w:rsidRDefault="00883FC1" w:rsidP="00883FC1">
      <w:pPr>
        <w:spacing w:before="100" w:beforeAutospacing="1" w:after="100" w:afterAutospacing="1" w:line="240" w:lineRule="auto"/>
        <w:jc w:val="both"/>
        <w:rPr>
          <w:rFonts w:eastAsia="Times New Roman" w:cstheme="minorHAnsi"/>
          <w:b/>
          <w:bCs/>
          <w:sz w:val="36"/>
          <w:szCs w:val="36"/>
          <w:lang w:eastAsia="en-GB"/>
        </w:rPr>
      </w:pPr>
      <w:r w:rsidRPr="00883FC1">
        <w:rPr>
          <w:rFonts w:eastAsia="Times New Roman" w:cstheme="minorHAnsi"/>
          <w:b/>
          <w:bCs/>
          <w:sz w:val="36"/>
          <w:szCs w:val="36"/>
          <w:lang w:eastAsia="en-GB"/>
        </w:rPr>
        <w:t>Candidature management</w:t>
      </w:r>
    </w:p>
    <w:p w14:paraId="41979130" w14:textId="53FF0B6E" w:rsidR="00A7539D" w:rsidRPr="00F02C94" w:rsidRDefault="00A7539D" w:rsidP="00A7539D">
      <w:pPr>
        <w:pStyle w:val="ListParagraph"/>
        <w:numPr>
          <w:ilvl w:val="0"/>
          <w:numId w:val="16"/>
        </w:numPr>
        <w:spacing w:before="100" w:beforeAutospacing="1" w:after="100" w:afterAutospacing="1" w:line="240" w:lineRule="auto"/>
        <w:jc w:val="both"/>
        <w:rPr>
          <w:rFonts w:eastAsia="Times New Roman" w:cstheme="minorHAnsi"/>
          <w:lang w:eastAsia="en-GB"/>
        </w:rPr>
      </w:pPr>
      <w:r w:rsidRPr="00F02C94">
        <w:rPr>
          <w:rFonts w:eastAsia="Times New Roman" w:cstheme="minorHAnsi"/>
          <w:lang w:eastAsia="en-GB"/>
        </w:rPr>
        <w:t xml:space="preserve">Universities should have clear policies relating to </w:t>
      </w:r>
      <w:r w:rsidR="009C21ED">
        <w:rPr>
          <w:rFonts w:eastAsia="Times New Roman" w:cstheme="minorHAnsi"/>
          <w:lang w:eastAsia="en-GB"/>
        </w:rPr>
        <w:t>a</w:t>
      </w:r>
      <w:r w:rsidRPr="00F02C94">
        <w:rPr>
          <w:rFonts w:eastAsia="Times New Roman" w:cstheme="minorHAnsi"/>
          <w:lang w:eastAsia="en-GB"/>
        </w:rPr>
        <w:t xml:space="preserve">dmission into </w:t>
      </w:r>
      <w:r w:rsidR="0089644A">
        <w:rPr>
          <w:rFonts w:eastAsia="Times New Roman" w:cstheme="minorHAnsi"/>
          <w:lang w:eastAsia="en-GB"/>
        </w:rPr>
        <w:t xml:space="preserve">and examination of </w:t>
      </w:r>
      <w:r w:rsidR="009C21ED">
        <w:rPr>
          <w:rFonts w:eastAsia="Times New Roman" w:cstheme="minorHAnsi"/>
          <w:lang w:eastAsia="en-GB"/>
        </w:rPr>
        <w:t>a graduate research program</w:t>
      </w:r>
      <w:r w:rsidRPr="00F02C94">
        <w:rPr>
          <w:rFonts w:eastAsia="Times New Roman" w:cstheme="minorHAnsi"/>
          <w:lang w:eastAsia="en-GB"/>
        </w:rPr>
        <w:t xml:space="preserve"> and a shared understanding of where authority lies in decisions relating to the various processes associated with </w:t>
      </w:r>
      <w:r w:rsidR="009C21ED">
        <w:rPr>
          <w:rFonts w:eastAsia="Times New Roman" w:cstheme="minorHAnsi"/>
          <w:lang w:eastAsia="en-GB"/>
        </w:rPr>
        <w:t>a</w:t>
      </w:r>
      <w:r w:rsidRPr="00F02C94">
        <w:rPr>
          <w:rFonts w:eastAsia="Times New Roman" w:cstheme="minorHAnsi"/>
          <w:lang w:eastAsia="en-GB"/>
        </w:rPr>
        <w:t>dmission</w:t>
      </w:r>
      <w:r w:rsidR="0089644A">
        <w:rPr>
          <w:rFonts w:eastAsia="Times New Roman" w:cstheme="minorHAnsi"/>
          <w:lang w:eastAsia="en-GB"/>
        </w:rPr>
        <w:t xml:space="preserve"> and examination</w:t>
      </w:r>
      <w:r w:rsidRPr="00F02C94">
        <w:rPr>
          <w:rFonts w:eastAsia="Times New Roman" w:cstheme="minorHAnsi"/>
          <w:lang w:eastAsia="en-GB"/>
        </w:rPr>
        <w:t xml:space="preserve">. </w:t>
      </w:r>
    </w:p>
    <w:p w14:paraId="6EA9BA39" w14:textId="77777777" w:rsidR="00A7539D" w:rsidRPr="00F02C94" w:rsidRDefault="00A7539D" w:rsidP="00A7539D">
      <w:pPr>
        <w:pStyle w:val="ListParagraph"/>
        <w:numPr>
          <w:ilvl w:val="0"/>
          <w:numId w:val="16"/>
        </w:numPr>
        <w:spacing w:before="100" w:beforeAutospacing="1" w:after="100" w:afterAutospacing="1" w:line="240" w:lineRule="auto"/>
        <w:jc w:val="both"/>
        <w:rPr>
          <w:rFonts w:eastAsia="Times New Roman" w:cstheme="minorHAnsi"/>
          <w:lang w:eastAsia="en-GB"/>
        </w:rPr>
      </w:pPr>
      <w:r w:rsidRPr="00F02C94">
        <w:rPr>
          <w:rFonts w:eastAsia="Times New Roman" w:cstheme="minorHAnsi"/>
          <w:lang w:eastAsia="en-GB"/>
        </w:rPr>
        <w:t>The responsibility for documentation and reporting of learning outcomes HDR candidates during candidature should be clear and the processes that ensure that the assessment of the major assessable research outputs via the HDR examination should be managed to meet HES expectations.</w:t>
      </w:r>
    </w:p>
    <w:p w14:paraId="005A0A1B" w14:textId="77777777" w:rsidR="00A7539D" w:rsidRPr="00F02C94" w:rsidRDefault="00A7539D" w:rsidP="00A7539D">
      <w:pPr>
        <w:pStyle w:val="ListParagraph"/>
        <w:numPr>
          <w:ilvl w:val="0"/>
          <w:numId w:val="16"/>
        </w:numPr>
        <w:spacing w:before="100" w:beforeAutospacing="1" w:after="100" w:afterAutospacing="1" w:line="240" w:lineRule="auto"/>
        <w:jc w:val="both"/>
        <w:rPr>
          <w:rFonts w:eastAsia="Times New Roman" w:cstheme="minorHAnsi"/>
          <w:lang w:eastAsia="en-GB"/>
        </w:rPr>
      </w:pPr>
      <w:r w:rsidRPr="00F02C94">
        <w:rPr>
          <w:rFonts w:eastAsia="Times New Roman" w:cstheme="minorHAnsi"/>
          <w:lang w:eastAsia="en-GB"/>
        </w:rPr>
        <w:t xml:space="preserve">Universities should have clear processes to confirm that appropriate supervision and study environment of research activity is in place prior to admission of an HDR student and that this learning environment can be maintained throughout candidature. </w:t>
      </w:r>
    </w:p>
    <w:p w14:paraId="194268C8" w14:textId="77777777" w:rsidR="00A7539D" w:rsidRPr="00F02C94" w:rsidRDefault="00A7539D" w:rsidP="00A7539D">
      <w:pPr>
        <w:pStyle w:val="ListParagraph"/>
        <w:numPr>
          <w:ilvl w:val="0"/>
          <w:numId w:val="16"/>
        </w:numPr>
        <w:spacing w:before="100" w:beforeAutospacing="1" w:after="100" w:afterAutospacing="1" w:line="240" w:lineRule="auto"/>
        <w:jc w:val="both"/>
        <w:rPr>
          <w:rFonts w:eastAsia="Times New Roman" w:cstheme="minorHAnsi"/>
          <w:lang w:eastAsia="en-GB"/>
        </w:rPr>
      </w:pPr>
      <w:r w:rsidRPr="00F02C94">
        <w:rPr>
          <w:rFonts w:eastAsia="Times New Roman" w:cstheme="minorHAnsi"/>
          <w:lang w:eastAsia="en-GB"/>
        </w:rPr>
        <w:t>Universities should ensure that appropriate induction processes relating to a responsible research culture are established for all HDR candidates.</w:t>
      </w:r>
    </w:p>
    <w:p w14:paraId="42BE3FA0" w14:textId="77777777" w:rsidR="00A7539D" w:rsidRPr="00F02C94" w:rsidRDefault="00A7539D" w:rsidP="00A7539D">
      <w:pPr>
        <w:pStyle w:val="ListParagraph"/>
        <w:numPr>
          <w:ilvl w:val="0"/>
          <w:numId w:val="16"/>
        </w:numPr>
        <w:spacing w:before="100" w:beforeAutospacing="1" w:after="100" w:afterAutospacing="1" w:line="240" w:lineRule="auto"/>
        <w:jc w:val="both"/>
        <w:rPr>
          <w:rFonts w:eastAsia="Times New Roman" w:cstheme="minorHAnsi"/>
          <w:lang w:eastAsia="en-GB"/>
        </w:rPr>
      </w:pPr>
      <w:r w:rsidRPr="00F02C94">
        <w:rPr>
          <w:rFonts w:eastAsia="Times New Roman" w:cstheme="minorHAnsi"/>
          <w:lang w:eastAsia="en-GB"/>
        </w:rPr>
        <w:t xml:space="preserve">Universities should ensure that they can provide timely access to services that support HDR candidate well-being and safety. </w:t>
      </w:r>
    </w:p>
    <w:p w14:paraId="179BAD87" w14:textId="6B6B4C78" w:rsidR="00A7539D" w:rsidRDefault="00A7539D" w:rsidP="00A7539D">
      <w:pPr>
        <w:pStyle w:val="ListParagraph"/>
        <w:numPr>
          <w:ilvl w:val="0"/>
          <w:numId w:val="16"/>
        </w:numPr>
        <w:spacing w:before="100" w:beforeAutospacing="1" w:after="100" w:afterAutospacing="1" w:line="240" w:lineRule="auto"/>
        <w:jc w:val="both"/>
        <w:rPr>
          <w:rFonts w:eastAsia="Times New Roman" w:cstheme="minorHAnsi"/>
          <w:lang w:eastAsia="en-GB"/>
        </w:rPr>
      </w:pPr>
      <w:r w:rsidRPr="00F02C94">
        <w:rPr>
          <w:rFonts w:eastAsia="Times New Roman" w:cstheme="minorHAnsi"/>
          <w:lang w:eastAsia="en-GB"/>
        </w:rPr>
        <w:t>Universities should have clear policies and procedures and transparent processes for the management of Student Grievances and Complaints involving HDR candidates.</w:t>
      </w:r>
    </w:p>
    <w:p w14:paraId="0E6187FD" w14:textId="2C820005" w:rsidR="00883FC1" w:rsidRPr="00883FC1" w:rsidRDefault="00883FC1" w:rsidP="00883FC1">
      <w:pPr>
        <w:spacing w:before="100" w:beforeAutospacing="1" w:after="100" w:afterAutospacing="1" w:line="240" w:lineRule="auto"/>
        <w:jc w:val="both"/>
        <w:rPr>
          <w:rFonts w:eastAsia="Times New Roman" w:cstheme="minorHAnsi"/>
          <w:b/>
          <w:bCs/>
          <w:sz w:val="36"/>
          <w:szCs w:val="36"/>
          <w:lang w:eastAsia="en-GB"/>
        </w:rPr>
      </w:pPr>
      <w:r w:rsidRPr="00883FC1">
        <w:rPr>
          <w:rFonts w:eastAsia="Times New Roman" w:cstheme="minorHAnsi"/>
          <w:b/>
          <w:bCs/>
          <w:sz w:val="36"/>
          <w:szCs w:val="36"/>
          <w:lang w:eastAsia="en-GB"/>
        </w:rPr>
        <w:t>Strategy and Planning</w:t>
      </w:r>
    </w:p>
    <w:p w14:paraId="4A5CC3B2" w14:textId="77777777" w:rsidR="00A7539D" w:rsidRPr="00F02C94" w:rsidRDefault="00A7539D" w:rsidP="00A7539D">
      <w:pPr>
        <w:pStyle w:val="ListParagraph"/>
        <w:numPr>
          <w:ilvl w:val="0"/>
          <w:numId w:val="16"/>
        </w:numPr>
        <w:spacing w:before="100" w:beforeAutospacing="1" w:after="100" w:afterAutospacing="1" w:line="240" w:lineRule="auto"/>
        <w:jc w:val="both"/>
        <w:rPr>
          <w:rFonts w:eastAsia="Times New Roman" w:cstheme="minorHAnsi"/>
          <w:lang w:eastAsia="en-GB"/>
        </w:rPr>
      </w:pPr>
      <w:r w:rsidRPr="00F02C94">
        <w:rPr>
          <w:rFonts w:eastAsia="Times New Roman" w:cstheme="minorHAnsi"/>
          <w:lang w:eastAsia="en-GB"/>
        </w:rPr>
        <w:t>Universities should establish clear processes for the development and promotion of key strategies and performance expectations which recognise and value the pluralistic nature of graduate research education provision.</w:t>
      </w:r>
    </w:p>
    <w:p w14:paraId="63CC7195" w14:textId="77777777" w:rsidR="00A7539D" w:rsidRPr="00F02C94" w:rsidRDefault="00A7539D" w:rsidP="00A7539D">
      <w:pPr>
        <w:pStyle w:val="ListParagraph"/>
        <w:numPr>
          <w:ilvl w:val="0"/>
          <w:numId w:val="16"/>
        </w:numPr>
        <w:spacing w:before="100" w:beforeAutospacing="1" w:after="100" w:afterAutospacing="1" w:line="240" w:lineRule="auto"/>
        <w:jc w:val="both"/>
        <w:rPr>
          <w:rFonts w:eastAsia="Times New Roman" w:cstheme="minorHAnsi"/>
          <w:lang w:eastAsia="en-GB"/>
        </w:rPr>
      </w:pPr>
      <w:r w:rsidRPr="00F02C94">
        <w:rPr>
          <w:rFonts w:eastAsia="Times New Roman" w:cstheme="minorHAnsi"/>
          <w:lang w:eastAsia="en-GB"/>
        </w:rPr>
        <w:t>Quality assurance in collaborative research training arrangements with other parties (e. g. Industry/End-Users, International partners) should be established across the University.</w:t>
      </w:r>
    </w:p>
    <w:p w14:paraId="352E4CE0" w14:textId="77777777" w:rsidR="00A7539D" w:rsidRPr="00F02C94" w:rsidRDefault="00A7539D" w:rsidP="00A7539D">
      <w:pPr>
        <w:pStyle w:val="ListParagraph"/>
        <w:numPr>
          <w:ilvl w:val="0"/>
          <w:numId w:val="16"/>
        </w:numPr>
        <w:spacing w:before="100" w:beforeAutospacing="1" w:after="100" w:afterAutospacing="1" w:line="240" w:lineRule="auto"/>
        <w:jc w:val="both"/>
        <w:rPr>
          <w:rFonts w:eastAsia="Times New Roman" w:cstheme="minorHAnsi"/>
          <w:lang w:eastAsia="en-GB"/>
        </w:rPr>
      </w:pPr>
      <w:r w:rsidRPr="00F02C94">
        <w:rPr>
          <w:rFonts w:eastAsia="Times New Roman" w:cstheme="minorHAnsi"/>
          <w:lang w:eastAsia="en-GB"/>
        </w:rPr>
        <w:lastRenderedPageBreak/>
        <w:t>Universities should ensure compliance with HES expectations in Research Training by ensuring that decision makers and managers of research training programmes are appropriately trained.</w:t>
      </w:r>
    </w:p>
    <w:p w14:paraId="4C480EDB" w14:textId="77777777" w:rsidR="00A7539D" w:rsidRPr="00F02C94" w:rsidRDefault="00A7539D" w:rsidP="00A7539D">
      <w:pPr>
        <w:pStyle w:val="ListParagraph"/>
        <w:numPr>
          <w:ilvl w:val="0"/>
          <w:numId w:val="16"/>
        </w:numPr>
        <w:spacing w:before="100" w:beforeAutospacing="1" w:after="100" w:afterAutospacing="1" w:line="240" w:lineRule="auto"/>
        <w:jc w:val="both"/>
        <w:rPr>
          <w:rFonts w:eastAsia="Times New Roman" w:cstheme="minorHAnsi"/>
          <w:lang w:eastAsia="en-GB"/>
        </w:rPr>
      </w:pPr>
      <w:r w:rsidRPr="00F02C94">
        <w:rPr>
          <w:rFonts w:eastAsia="Times New Roman" w:cstheme="minorHAnsi"/>
          <w:lang w:eastAsia="en-GB"/>
        </w:rPr>
        <w:t xml:space="preserve">Universities should ensure that expenditure and data collection in relation to Research Training is documented to meet RTP legislative and HEIMS reporting requirements.  </w:t>
      </w:r>
    </w:p>
    <w:p w14:paraId="02C0AC32" w14:textId="438ED545" w:rsidR="007C7B0F" w:rsidRDefault="007C7B0F" w:rsidP="007C7B0F">
      <w:pPr>
        <w:ind w:left="720"/>
        <w:rPr>
          <w:rFonts w:cstheme="minorHAnsi"/>
          <w:sz w:val="24"/>
          <w:szCs w:val="24"/>
        </w:rPr>
      </w:pPr>
    </w:p>
    <w:p w14:paraId="59989234" w14:textId="77777777" w:rsidR="007C7B0F" w:rsidRPr="007C7B0F" w:rsidRDefault="007C7B0F" w:rsidP="007C7B0F">
      <w:pPr>
        <w:rPr>
          <w:rFonts w:cstheme="minorHAnsi"/>
          <w:sz w:val="24"/>
          <w:szCs w:val="24"/>
        </w:rPr>
      </w:pPr>
    </w:p>
    <w:sectPr w:rsidR="007C7B0F" w:rsidRPr="007C7B0F" w:rsidSect="00970FE4">
      <w:headerReference w:type="even" r:id="rId14"/>
      <w:headerReference w:type="default" r:id="rId15"/>
      <w:footerReference w:type="default" r:id="rId16"/>
      <w:headerReference w:type="firs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65643" w14:textId="77777777" w:rsidR="00423FC5" w:rsidRDefault="00423FC5" w:rsidP="00325501">
      <w:pPr>
        <w:spacing w:after="0" w:line="240" w:lineRule="auto"/>
      </w:pPr>
      <w:r>
        <w:separator/>
      </w:r>
    </w:p>
  </w:endnote>
  <w:endnote w:type="continuationSeparator" w:id="0">
    <w:p w14:paraId="7CC7C9CD" w14:textId="77777777" w:rsidR="00423FC5" w:rsidRDefault="00423FC5" w:rsidP="0032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4246CD" w14:textId="77777777" w:rsidR="004A6D0D" w:rsidRDefault="004A6D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622349093"/>
      <w:docPartObj>
        <w:docPartGallery w:val="Page Numbers (Bottom of Page)"/>
        <w:docPartUnique/>
      </w:docPartObj>
    </w:sdtPr>
    <w:sdtEndPr>
      <w:rPr>
        <w:noProof/>
      </w:rPr>
    </w:sdtEndPr>
    <w:sdtContent>
      <w:p w14:paraId="7A69A789" w14:textId="154E4E93" w:rsidR="00970FE4" w:rsidRDefault="0016024C">
        <w:pPr>
          <w:pStyle w:val="Footer"/>
          <w:jc w:val="right"/>
        </w:pPr>
      </w:p>
    </w:sdtContent>
  </w:sdt>
  <w:p w14:paraId="35A02348" w14:textId="77777777" w:rsidR="00970FE4" w:rsidRDefault="00970FE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05E155" w14:textId="77777777" w:rsidR="004A6D0D" w:rsidRDefault="004A6D0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892039484"/>
      <w:docPartObj>
        <w:docPartGallery w:val="Page Numbers (Bottom of Page)"/>
        <w:docPartUnique/>
      </w:docPartObj>
    </w:sdtPr>
    <w:sdtEndPr>
      <w:rPr>
        <w:noProof/>
      </w:rPr>
    </w:sdtEndPr>
    <w:sdtContent>
      <w:p w14:paraId="265AA948" w14:textId="77777777" w:rsidR="00970FE4" w:rsidRDefault="00970FE4">
        <w:pPr>
          <w:pStyle w:val="Footer"/>
          <w:jc w:val="right"/>
        </w:pPr>
        <w:r>
          <w:fldChar w:fldCharType="begin"/>
        </w:r>
        <w:r>
          <w:instrText xml:space="preserve"> PAGE   \* MERGEFORMAT </w:instrText>
        </w:r>
        <w:r>
          <w:fldChar w:fldCharType="separate"/>
        </w:r>
        <w:r w:rsidR="0016024C">
          <w:rPr>
            <w:noProof/>
          </w:rPr>
          <w:t>1</w:t>
        </w:r>
        <w:r>
          <w:rPr>
            <w:noProof/>
          </w:rPr>
          <w:fldChar w:fldCharType="end"/>
        </w:r>
      </w:p>
    </w:sdtContent>
  </w:sdt>
  <w:p w14:paraId="7F1CF775" w14:textId="77777777" w:rsidR="00970FE4" w:rsidRDefault="00970F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4D4FE" w14:textId="77777777" w:rsidR="00423FC5" w:rsidRDefault="00423FC5" w:rsidP="00325501">
      <w:pPr>
        <w:spacing w:after="0" w:line="240" w:lineRule="auto"/>
      </w:pPr>
      <w:r>
        <w:separator/>
      </w:r>
    </w:p>
  </w:footnote>
  <w:footnote w:type="continuationSeparator" w:id="0">
    <w:p w14:paraId="07EAC151" w14:textId="77777777" w:rsidR="00423FC5" w:rsidRDefault="00423FC5" w:rsidP="003255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F3883F" w14:textId="04A77248" w:rsidR="004A6D0D" w:rsidRDefault="004A6D0D">
    <w:pPr>
      <w:pStyle w:val="Header"/>
    </w:pPr>
    <w:r>
      <w:rPr>
        <w:noProof/>
        <w:lang w:val="en-US"/>
      </w:rPr>
      <w:pict w14:anchorId="7CA5EDF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8.85pt;height:37.4pt;rotation:315;z-index:-251655168;mso-wrap-edited:f;mso-position-horizontal:center;mso-position-horizontal-relative:margin;mso-position-vertical:center;mso-position-vertical-relative:margin" wrapcoords="21356 7344 20977 7776 20950 10800 20733 8208 20030 3456 19948 4752 19542 6048 19218 7344 18676 3888 18297 7776 17972 7776 17621 7344 17079 7776 16673 4320 16592 4320 16592 9504 16403 7776 16132 7776 16024 10368 15672 7776 15347 6912 15293 8640 14968 6480 14372 3456 14237 5616 14129 9072 14210 10800 13642 6048 13533 5184 13398 7776 13046 7344 12153 7344 12099 8640 12018 14256 10312 -12528 10042 -7344 10935 7344 10231 3456 10204 5184 9717 7344 9094 7344 8959 8208 8824 10368 8769 12096 8174 5184 7849 3024 7714 5184 7254 7344 6983 7344 6766 8208 6442 4320 6252 4320 5765 11232 5467 9504 5115 5184 4899 9072 4682 7776 4357 7344 3978 4320 3572 7344 2652 7776 2598 8208 2598 11232 2354 7776 1921 6048 1759 7776 1218 7344 920 4320 135 4752 81 5184 54 9504 27 14256 54 14688 189 16848 216 17280 974 16848 1190 17280 1461 16848 1596 14688 1975 18144 2165 14688 2463 18144 2760 16416 2815 14688 3004 17280 3654 17712 4087 16848 4655 17280 4790 16416 5413 16848 7254 35856 6469 14688 6658 16848 7145 18576 7308 17280 8445 16848 8472 16416 9148 17280 9717 16848 10312 16848 10583 19872 10718 19872 10854 15984 11043 9072 11530 15120 11720 12096 12234 17712 12613 16416 13209 17280 13290 15984 13723 16848 13831 15984 13669 12096 14264 16848 14400 16416 14427 14256 14589 15984 15022 17280 15130 15984 15401 16848 15455 15984 15482 11664 15618 12960 16375 17712 16484 16848 18351 17712 18703 16848 18784 15552 18893 16848 19326 17280 19488 16416 20057 17712 20138 16848 21031 16848 21112 16416 21139 13824 21437 17280 21518 15984 21518 10368 21356 7344" fillcolor="silver" stroked="f">
          <v:textpath style="font-family:&quot;Calibri&quot;;font-size:1pt" string="Discussion draft only - not for circulatio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B8DCCC" w14:textId="092F2B4B" w:rsidR="004A6D0D" w:rsidRDefault="004A6D0D">
    <w:pPr>
      <w:pStyle w:val="Header"/>
    </w:pPr>
    <w:r>
      <w:rPr>
        <w:noProof/>
        <w:lang w:val="en-US"/>
      </w:rPr>
      <w:pict w14:anchorId="2285FC5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8.85pt;height:37.4pt;rotation:315;z-index:-251657216;mso-wrap-edited:f;mso-position-horizontal:center;mso-position-horizontal-relative:margin;mso-position-vertical:center;mso-position-vertical-relative:margin" wrapcoords="21356 7344 20977 7776 20950 10800 20733 8208 20030 3456 19948 4752 19542 6048 19218 7344 18676 3888 18297 7776 17972 7776 17621 7344 17079 7776 16673 4320 16592 4320 16592 9504 16403 7776 16132 7776 16024 10368 15672 7776 15347 6912 15293 8640 14968 6480 14372 3456 14237 5616 14129 9072 14210 10800 13642 6048 13533 5184 13398 7776 13046 7344 12153 7344 12099 8640 12018 14256 10312 -12528 10042 -7344 10935 7344 10231 3456 10204 5184 9717 7344 9094 7344 8959 8208 8824 10368 8769 12096 8174 5184 7849 3024 7714 5184 7254 7344 6983 7344 6766 8208 6442 4320 6252 4320 5765 11232 5467 9504 5115 5184 4899 9072 4682 7776 4357 7344 3978 4320 3572 7344 2652 7776 2598 8208 2598 11232 2354 7776 1921 6048 1759 7776 1218 7344 920 4320 135 4752 81 5184 54 9504 27 14256 54 14688 189 16848 216 17280 974 16848 1190 17280 1461 16848 1596 14688 1975 18144 2165 14688 2463 18144 2760 16416 2815 14688 3004 17280 3654 17712 4087 16848 4655 17280 4790 16416 5413 16848 7254 35856 6469 14688 6658 16848 7145 18576 7308 17280 8445 16848 8472 16416 9148 17280 9717 16848 10312 16848 10583 19872 10718 19872 10854 15984 11043 9072 11530 15120 11720 12096 12234 17712 12613 16416 13209 17280 13290 15984 13723 16848 13831 15984 13669 12096 14264 16848 14400 16416 14427 14256 14589 15984 15022 17280 15130 15984 15401 16848 15455 15984 15482 11664 15618 12960 16375 17712 16484 16848 18351 17712 18703 16848 18784 15552 18893 16848 19326 17280 19488 16416 20057 17712 20138 16848 21031 16848 21112 16416 21139 13824 21437 17280 21518 15984 21518 10368 21356 7344" fillcolor="silver" stroked="f">
          <v:textpath style="font-family:&quot;Calibri&quot;;font-size:1pt" string="Discussion draft only - not for circulatio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C8E053" w14:textId="571C240C" w:rsidR="004A6D0D" w:rsidRDefault="004A6D0D">
    <w:pPr>
      <w:pStyle w:val="Header"/>
    </w:pPr>
    <w:r>
      <w:rPr>
        <w:noProof/>
        <w:lang w:val="en-US"/>
      </w:rPr>
      <w:pict w14:anchorId="78FB2DE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98.85pt;height:37.4pt;rotation:315;z-index:-251653120;mso-wrap-edited:f;mso-position-horizontal:center;mso-position-horizontal-relative:margin;mso-position-vertical:center;mso-position-vertical-relative:margin" wrapcoords="21356 7344 20977 7776 20950 10800 20733 8208 20030 3456 19948 4752 19542 6048 19218 7344 18676 3888 18297 7776 17972 7776 17621 7344 17079 7776 16673 4320 16592 4320 16592 9504 16403 7776 16132 7776 16024 10368 15672 7776 15347 6912 15293 8640 14968 6480 14372 3456 14237 5616 14129 9072 14210 10800 13642 6048 13533 5184 13398 7776 13046 7344 12153 7344 12099 8640 12018 14256 10312 -12528 10042 -7344 10935 7344 10231 3456 10204 5184 9717 7344 9094 7344 8959 8208 8824 10368 8769 12096 8174 5184 7849 3024 7714 5184 7254 7344 6983 7344 6766 8208 6442 4320 6252 4320 5765 11232 5467 9504 5115 5184 4899 9072 4682 7776 4357 7344 3978 4320 3572 7344 2652 7776 2598 8208 2598 11232 2354 7776 1921 6048 1759 7776 1218 7344 920 4320 135 4752 81 5184 54 9504 27 14256 54 14688 189 16848 216 17280 974 16848 1190 17280 1461 16848 1596 14688 1975 18144 2165 14688 2463 18144 2760 16416 2815 14688 3004 17280 3654 17712 4087 16848 4655 17280 4790 16416 5413 16848 7254 35856 6469 14688 6658 16848 7145 18576 7308 17280 8445 16848 8472 16416 9148 17280 9717 16848 10312 16848 10583 19872 10718 19872 10854 15984 11043 9072 11530 15120 11720 12096 12234 17712 12613 16416 13209 17280 13290 15984 13723 16848 13831 15984 13669 12096 14264 16848 14400 16416 14427 14256 14589 15984 15022 17280 15130 15984 15401 16848 15455 15984 15482 11664 15618 12960 16375 17712 16484 16848 18351 17712 18703 16848 18784 15552 18893 16848 19326 17280 19488 16416 20057 17712 20138 16848 21031 16848 21112 16416 21139 13824 21437 17280 21518 15984 21518 10368 21356 7344" fillcolor="silver" stroked="f">
          <v:textpath style="font-family:&quot;Calibri&quot;;font-size:1pt" string="Discussion draft only - not for circulation"/>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94CEFE" w14:textId="3E37A9E8" w:rsidR="004A6D0D" w:rsidRDefault="004A6D0D">
    <w:pPr>
      <w:pStyle w:val="Header"/>
    </w:pPr>
    <w:r>
      <w:rPr>
        <w:noProof/>
        <w:lang w:val="en-US"/>
      </w:rPr>
      <w:pict w14:anchorId="15DC445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598.85pt;height:37.4pt;rotation:315;z-index:-251649024;mso-wrap-edited:f;mso-position-horizontal:center;mso-position-horizontal-relative:margin;mso-position-vertical:center;mso-position-vertical-relative:margin" wrapcoords="21356 7344 20977 7776 20950 10800 20733 8208 20030 3456 19948 4752 19542 6048 19218 7344 18676 3888 18297 7776 17972 7776 17621 7344 17079 7776 16673 4320 16592 4320 16592 9504 16403 7776 16132 7776 16024 10368 15672 7776 15347 6912 15293 8640 14968 6480 14372 3456 14237 5616 14129 9072 14210 10800 13642 6048 13533 5184 13398 7776 13046 7344 12153 7344 12099 8640 12018 14256 10312 -12528 10042 -7344 10935 7344 10231 3456 10204 5184 9717 7344 9094 7344 8959 8208 8824 10368 8769 12096 8174 5184 7849 3024 7714 5184 7254 7344 6983 7344 6766 8208 6442 4320 6252 4320 5765 11232 5467 9504 5115 5184 4899 9072 4682 7776 4357 7344 3978 4320 3572 7344 2652 7776 2598 8208 2598 11232 2354 7776 1921 6048 1759 7776 1218 7344 920 4320 135 4752 81 5184 54 9504 27 14256 54 14688 189 16848 216 17280 974 16848 1190 17280 1461 16848 1596 14688 1975 18144 2165 14688 2463 18144 2760 16416 2815 14688 3004 17280 3654 17712 4087 16848 4655 17280 4790 16416 5413 16848 7254 35856 6469 14688 6658 16848 7145 18576 7308 17280 8445 16848 8472 16416 9148 17280 9717 16848 10312 16848 10583 19872 10718 19872 10854 15984 11043 9072 11530 15120 11720 12096 12234 17712 12613 16416 13209 17280 13290 15984 13723 16848 13831 15984 13669 12096 14264 16848 14400 16416 14427 14256 14589 15984 15022 17280 15130 15984 15401 16848 15455 15984 15482 11664 15618 12960 16375 17712 16484 16848 18351 17712 18703 16848 18784 15552 18893 16848 19326 17280 19488 16416 20057 17712 20138 16848 21031 16848 21112 16416 21139 13824 21437 17280 21518 15984 21518 10368 21356 7344" fillcolor="silver" stroked="f">
          <v:textpath style="font-family:&quot;Calibri&quot;;font-size:1pt" string="Discussion draft only - not for circulatio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95A19C" w14:textId="633A8A18" w:rsidR="00B8147D" w:rsidRDefault="004A6D0D" w:rsidP="00443CD2">
    <w:pPr>
      <w:pStyle w:val="ACGRRunningHead"/>
    </w:pPr>
    <w:r>
      <w:rPr>
        <w:noProof/>
        <w:lang w:val="en-US"/>
      </w:rPr>
      <w:pict w14:anchorId="02005E9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598.85pt;height:37.4pt;rotation:315;z-index:-251651072;mso-wrap-edited:f;mso-position-horizontal:center;mso-position-horizontal-relative:margin;mso-position-vertical:center;mso-position-vertical-relative:margin" wrapcoords="21356 7344 20977 7776 20950 10800 20733 8208 20030 3456 19948 4752 19542 6048 19218 7344 18676 3888 18297 7776 17972 7776 17621 7344 17079 7776 16673 4320 16592 4320 16592 9504 16403 7776 16132 7776 16024 10368 15672 7776 15347 6912 15293 8640 14968 6480 14372 3456 14237 5616 14129 9072 14210 10800 13642 6048 13533 5184 13398 7776 13046 7344 12153 7344 12099 8640 12018 14256 10312 -12528 10042 -7344 10935 7344 10231 3456 10204 5184 9717 7344 9094 7344 8959 8208 8824 10368 8769 12096 8174 5184 7849 3024 7714 5184 7254 7344 6983 7344 6766 8208 6442 4320 6252 4320 5765 11232 5467 9504 5115 5184 4899 9072 4682 7776 4357 7344 3978 4320 3572 7344 2652 7776 2598 8208 2598 11232 2354 7776 1921 6048 1759 7776 1218 7344 920 4320 135 4752 81 5184 54 9504 27 14256 54 14688 189 16848 216 17280 974 16848 1190 17280 1461 16848 1596 14688 1975 18144 2165 14688 2463 18144 2760 16416 2815 14688 3004 17280 3654 17712 4087 16848 4655 17280 4790 16416 5413 16848 7254 35856 6469 14688 6658 16848 7145 18576 7308 17280 8445 16848 8472 16416 9148 17280 9717 16848 10312 16848 10583 19872 10718 19872 10854 15984 11043 9072 11530 15120 11720 12096 12234 17712 12613 16416 13209 17280 13290 15984 13723 16848 13831 15984 13669 12096 14264 16848 14400 16416 14427 14256 14589 15984 15022 17280 15130 15984 15401 16848 15455 15984 15482 11664 15618 12960 16375 17712 16484 16848 18351 17712 18703 16848 18784 15552 18893 16848 19326 17280 19488 16416 20057 17712 20138 16848 21031 16848 21112 16416 21139 13824 21437 17280 21518 15984 21518 10368 21356 7344" fillcolor="silver" stroked="f">
          <v:textpath style="font-family:&quot;Calibri&quot;;font-size:1pt" string="Discussion draft only - not for circulation"/>
        </v:shape>
      </w:pict>
    </w:r>
    <w:r w:rsidR="00443CD2" w:rsidRPr="00443CD2">
      <w:t>ACGR Good Practice Guidelines for</w:t>
    </w:r>
    <w:r w:rsidR="00A7539D">
      <w:t xml:space="preserve"> Graduate Research Governance and Management  </w:t>
    </w:r>
  </w:p>
  <w:p w14:paraId="5245F2AD" w14:textId="6605A79F" w:rsidR="00970FE4" w:rsidRPr="00443CD2" w:rsidRDefault="00443CD2" w:rsidP="00443CD2">
    <w:pPr>
      <w:pStyle w:val="ACGRRunningHead"/>
    </w:pPr>
    <w:r>
      <w:t>Version</w:t>
    </w:r>
    <w:r w:rsidR="00A7539D">
      <w:t xml:space="preserve"> 1: March 2022 - Draft</w:t>
    </w:r>
    <w:r>
      <w:t xml:space="preserve"> </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13C4E2" w14:textId="042F2C18" w:rsidR="004A6D0D" w:rsidRDefault="004A6D0D">
    <w:pPr>
      <w:pStyle w:val="Header"/>
    </w:pPr>
    <w:r>
      <w:rPr>
        <w:noProof/>
        <w:lang w:val="en-US"/>
      </w:rPr>
      <w:pict w14:anchorId="081AB8C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1030" type="#_x0000_t136" style="position:absolute;margin-left:0;margin-top:0;width:598.85pt;height:37.4pt;rotation:315;z-index:-251646976;mso-wrap-edited:f;mso-position-horizontal:center;mso-position-horizontal-relative:margin;mso-position-vertical:center;mso-position-vertical-relative:margin" wrapcoords="21356 7344 20977 7776 20950 10800 20733 8208 20030 3456 19948 4752 19542 6048 19218 7344 18676 3888 18297 7776 17972 7776 17621 7344 17079 7776 16673 4320 16592 4320 16592 9504 16403 7776 16132 7776 16024 10368 15672 7776 15347 6912 15293 8640 14968 6480 14372 3456 14237 5616 14129 9072 14210 10800 13642 6048 13533 5184 13398 7776 13046 7344 12153 7344 12099 8640 12018 14256 10312 -12528 10042 -7344 10935 7344 10231 3456 10204 5184 9717 7344 9094 7344 8959 8208 8824 10368 8769 12096 8174 5184 7849 3024 7714 5184 7254 7344 6983 7344 6766 8208 6442 4320 6252 4320 5765 11232 5467 9504 5115 5184 4899 9072 4682 7776 4357 7344 3978 4320 3572 7344 2652 7776 2598 8208 2598 11232 2354 7776 1921 6048 1759 7776 1218 7344 920 4320 135 4752 81 5184 54 9504 27 14256 54 14688 189 16848 216 17280 974 16848 1190 17280 1461 16848 1596 14688 1975 18144 2165 14688 2463 18144 2760 16416 2815 14688 3004 17280 3654 17712 4087 16848 4655 17280 4790 16416 5413 16848 7254 35856 6469 14688 6658 16848 7145 18576 7308 17280 8445 16848 8472 16416 9148 17280 9717 16848 10312 16848 10583 19872 10718 19872 10854 15984 11043 9072 11530 15120 11720 12096 12234 17712 12613 16416 13209 17280 13290 15984 13723 16848 13831 15984 13669 12096 14264 16848 14400 16416 14427 14256 14589 15984 15022 17280 15130 15984 15401 16848 15455 15984 15482 11664 15618 12960 16375 17712 16484 16848 18351 17712 18703 16848 18784 15552 18893 16848 19326 17280 19488 16416 20057 17712 20138 16848 21031 16848 21112 16416 21139 13824 21437 17280 21518 15984 21518 10368 21356 7344" fillcolor="silver" stroked="f">
          <v:textpath style="font-family:&quot;Calibri&quot;;font-size:1pt" string="Discussion draft only - not for circulatio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7D4"/>
    <w:multiLevelType w:val="hybridMultilevel"/>
    <w:tmpl w:val="065A23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B346CA0"/>
    <w:multiLevelType w:val="hybridMultilevel"/>
    <w:tmpl w:val="F25418E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EF21E8"/>
    <w:multiLevelType w:val="hybridMultilevel"/>
    <w:tmpl w:val="F05CA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CD973DC"/>
    <w:multiLevelType w:val="hybridMultilevel"/>
    <w:tmpl w:val="2C6476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FA17EB9"/>
    <w:multiLevelType w:val="multilevel"/>
    <w:tmpl w:val="A3463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A51BA5"/>
    <w:multiLevelType w:val="hybridMultilevel"/>
    <w:tmpl w:val="9E2C878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338354E2"/>
    <w:multiLevelType w:val="hybridMultilevel"/>
    <w:tmpl w:val="3ABEF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7E61F0D"/>
    <w:multiLevelType w:val="hybridMultilevel"/>
    <w:tmpl w:val="C2C82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262B65"/>
    <w:multiLevelType w:val="hybridMultilevel"/>
    <w:tmpl w:val="F91C2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946676"/>
    <w:multiLevelType w:val="hybridMultilevel"/>
    <w:tmpl w:val="17568B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C444085"/>
    <w:multiLevelType w:val="hybridMultilevel"/>
    <w:tmpl w:val="9690B7EC"/>
    <w:lvl w:ilvl="0" w:tplc="0C090001">
      <w:start w:val="1"/>
      <w:numFmt w:val="bullet"/>
      <w:lvlText w:val=""/>
      <w:lvlJc w:val="left"/>
      <w:pPr>
        <w:ind w:left="720" w:hanging="360"/>
      </w:pPr>
      <w:rPr>
        <w:rFonts w:ascii="Symbol" w:hAnsi="Symbol" w:hint="default"/>
      </w:rPr>
    </w:lvl>
    <w:lvl w:ilvl="1" w:tplc="6CEE7F14">
      <w:numFmt w:val="bullet"/>
      <w:lvlText w:val="-"/>
      <w:lvlJc w:val="left"/>
      <w:pPr>
        <w:ind w:left="1800" w:hanging="720"/>
      </w:pPr>
      <w:rPr>
        <w:rFonts w:ascii="Calibri" w:eastAsiaTheme="minorHAnsi" w:hAnsi="Calibri" w:cs="Calibri" w:hint="default"/>
      </w:rPr>
    </w:lvl>
    <w:lvl w:ilvl="2" w:tplc="720A7FA0">
      <w:numFmt w:val="bullet"/>
      <w:lvlText w:val="•"/>
      <w:lvlJc w:val="left"/>
      <w:pPr>
        <w:ind w:left="2520" w:hanging="72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5692073"/>
    <w:multiLevelType w:val="hybridMultilevel"/>
    <w:tmpl w:val="3FC24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4CF6097"/>
    <w:multiLevelType w:val="hybridMultilevel"/>
    <w:tmpl w:val="A9DE20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5612DAE"/>
    <w:multiLevelType w:val="hybridMultilevel"/>
    <w:tmpl w:val="63B80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D37866"/>
    <w:multiLevelType w:val="hybridMultilevel"/>
    <w:tmpl w:val="6C28CE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5C4F0579"/>
    <w:multiLevelType w:val="hybridMultilevel"/>
    <w:tmpl w:val="687235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C683B07"/>
    <w:multiLevelType w:val="hybridMultilevel"/>
    <w:tmpl w:val="D37840B6"/>
    <w:lvl w:ilvl="0" w:tplc="EB92C164">
      <w:start w:val="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C1230B1"/>
    <w:multiLevelType w:val="hybridMultilevel"/>
    <w:tmpl w:val="61F0B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E23029B"/>
    <w:multiLevelType w:val="hybridMultilevel"/>
    <w:tmpl w:val="1F183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1A39A0"/>
    <w:multiLevelType w:val="hybridMultilevel"/>
    <w:tmpl w:val="C26AE9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1226492"/>
    <w:multiLevelType w:val="hybridMultilevel"/>
    <w:tmpl w:val="03E84B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3205998"/>
    <w:multiLevelType w:val="hybridMultilevel"/>
    <w:tmpl w:val="C95435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3BD6400"/>
    <w:multiLevelType w:val="hybridMultilevel"/>
    <w:tmpl w:val="2E9455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7CF2137A"/>
    <w:multiLevelType w:val="hybridMultilevel"/>
    <w:tmpl w:val="99B6479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FE136F4"/>
    <w:multiLevelType w:val="hybridMultilevel"/>
    <w:tmpl w:val="C172DD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0"/>
  </w:num>
  <w:num w:numId="3">
    <w:abstractNumId w:val="15"/>
  </w:num>
  <w:num w:numId="4">
    <w:abstractNumId w:val="1"/>
  </w:num>
  <w:num w:numId="5">
    <w:abstractNumId w:val="22"/>
  </w:num>
  <w:num w:numId="6">
    <w:abstractNumId w:val="11"/>
  </w:num>
  <w:num w:numId="7">
    <w:abstractNumId w:val="0"/>
  </w:num>
  <w:num w:numId="8">
    <w:abstractNumId w:val="23"/>
  </w:num>
  <w:num w:numId="9">
    <w:abstractNumId w:val="14"/>
  </w:num>
  <w:num w:numId="10">
    <w:abstractNumId w:val="17"/>
  </w:num>
  <w:num w:numId="11">
    <w:abstractNumId w:val="24"/>
  </w:num>
  <w:num w:numId="12">
    <w:abstractNumId w:val="7"/>
  </w:num>
  <w:num w:numId="13">
    <w:abstractNumId w:val="21"/>
  </w:num>
  <w:num w:numId="14">
    <w:abstractNumId w:val="9"/>
  </w:num>
  <w:num w:numId="15">
    <w:abstractNumId w:val="5"/>
  </w:num>
  <w:num w:numId="16">
    <w:abstractNumId w:val="16"/>
  </w:num>
  <w:num w:numId="17">
    <w:abstractNumId w:val="20"/>
  </w:num>
  <w:num w:numId="18">
    <w:abstractNumId w:val="3"/>
  </w:num>
  <w:num w:numId="19">
    <w:abstractNumId w:val="19"/>
  </w:num>
  <w:num w:numId="20">
    <w:abstractNumId w:val="12"/>
  </w:num>
  <w:num w:numId="21">
    <w:abstractNumId w:val="2"/>
  </w:num>
  <w:num w:numId="22">
    <w:abstractNumId w:val="8"/>
  </w:num>
  <w:num w:numId="23">
    <w:abstractNumId w:val="4"/>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7C"/>
    <w:rsid w:val="00071281"/>
    <w:rsid w:val="00092893"/>
    <w:rsid w:val="000A1883"/>
    <w:rsid w:val="000F1A64"/>
    <w:rsid w:val="0010443C"/>
    <w:rsid w:val="001121EF"/>
    <w:rsid w:val="0016024C"/>
    <w:rsid w:val="00184961"/>
    <w:rsid w:val="001912F6"/>
    <w:rsid w:val="00202541"/>
    <w:rsid w:val="00216077"/>
    <w:rsid w:val="0022692E"/>
    <w:rsid w:val="0023483E"/>
    <w:rsid w:val="002750BD"/>
    <w:rsid w:val="002E7AA5"/>
    <w:rsid w:val="00324C36"/>
    <w:rsid w:val="00325501"/>
    <w:rsid w:val="00343EC9"/>
    <w:rsid w:val="003577B3"/>
    <w:rsid w:val="003F7023"/>
    <w:rsid w:val="00423FC5"/>
    <w:rsid w:val="0042478F"/>
    <w:rsid w:val="004352DC"/>
    <w:rsid w:val="00443CD2"/>
    <w:rsid w:val="004567BF"/>
    <w:rsid w:val="004964B9"/>
    <w:rsid w:val="004A6D0D"/>
    <w:rsid w:val="004C3C78"/>
    <w:rsid w:val="00504B21"/>
    <w:rsid w:val="00522278"/>
    <w:rsid w:val="0052342E"/>
    <w:rsid w:val="0052740B"/>
    <w:rsid w:val="00580B04"/>
    <w:rsid w:val="005817B0"/>
    <w:rsid w:val="00587E94"/>
    <w:rsid w:val="00594412"/>
    <w:rsid w:val="0059517A"/>
    <w:rsid w:val="005D7419"/>
    <w:rsid w:val="005F1661"/>
    <w:rsid w:val="00616291"/>
    <w:rsid w:val="00627A58"/>
    <w:rsid w:val="006A20ED"/>
    <w:rsid w:val="006B29EB"/>
    <w:rsid w:val="006D017C"/>
    <w:rsid w:val="006F53B2"/>
    <w:rsid w:val="0073016E"/>
    <w:rsid w:val="0075381E"/>
    <w:rsid w:val="007C7B0F"/>
    <w:rsid w:val="00813630"/>
    <w:rsid w:val="00822EBC"/>
    <w:rsid w:val="00825E81"/>
    <w:rsid w:val="008401FA"/>
    <w:rsid w:val="008571CB"/>
    <w:rsid w:val="00860A88"/>
    <w:rsid w:val="00870645"/>
    <w:rsid w:val="00883FC1"/>
    <w:rsid w:val="0089644A"/>
    <w:rsid w:val="008A3118"/>
    <w:rsid w:val="008B701F"/>
    <w:rsid w:val="008C0E01"/>
    <w:rsid w:val="008D0332"/>
    <w:rsid w:val="008D5E07"/>
    <w:rsid w:val="00917271"/>
    <w:rsid w:val="00961281"/>
    <w:rsid w:val="00970FE4"/>
    <w:rsid w:val="00985950"/>
    <w:rsid w:val="009B4BC5"/>
    <w:rsid w:val="009C21ED"/>
    <w:rsid w:val="009E04D4"/>
    <w:rsid w:val="00A15BF0"/>
    <w:rsid w:val="00A31920"/>
    <w:rsid w:val="00A7539D"/>
    <w:rsid w:val="00AF145E"/>
    <w:rsid w:val="00B21BB1"/>
    <w:rsid w:val="00B8147D"/>
    <w:rsid w:val="00BA0BE7"/>
    <w:rsid w:val="00C0587D"/>
    <w:rsid w:val="00C367DE"/>
    <w:rsid w:val="00C84BFA"/>
    <w:rsid w:val="00C867E0"/>
    <w:rsid w:val="00C949AE"/>
    <w:rsid w:val="00CC143D"/>
    <w:rsid w:val="00CF3981"/>
    <w:rsid w:val="00D23FBB"/>
    <w:rsid w:val="00E208B9"/>
    <w:rsid w:val="00E2267D"/>
    <w:rsid w:val="00E52B67"/>
    <w:rsid w:val="00E53E5A"/>
    <w:rsid w:val="00E715EC"/>
    <w:rsid w:val="00E9311A"/>
    <w:rsid w:val="00EB4F31"/>
    <w:rsid w:val="00ED653B"/>
    <w:rsid w:val="00F02C94"/>
    <w:rsid w:val="00F13D70"/>
    <w:rsid w:val="00F35963"/>
    <w:rsid w:val="00F54CD5"/>
    <w:rsid w:val="00F8583A"/>
    <w:rsid w:val="00FF3F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9A5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17C"/>
    <w:pPr>
      <w:ind w:left="720"/>
      <w:contextualSpacing/>
    </w:pPr>
  </w:style>
  <w:style w:type="paragraph" w:customStyle="1" w:styleId="ACGRHeading1">
    <w:name w:val="*ACGR Heading 1"/>
    <w:basedOn w:val="Normal"/>
    <w:qFormat/>
    <w:rsid w:val="00C867E0"/>
    <w:pPr>
      <w:spacing w:before="240" w:after="120"/>
    </w:pPr>
    <w:rPr>
      <w:b/>
      <w:bCs/>
      <w:sz w:val="52"/>
      <w:szCs w:val="32"/>
    </w:rPr>
  </w:style>
  <w:style w:type="paragraph" w:customStyle="1" w:styleId="ACGRHeading2">
    <w:name w:val="* ACGR Heading 2"/>
    <w:basedOn w:val="Normal"/>
    <w:qFormat/>
    <w:rsid w:val="00C867E0"/>
    <w:pPr>
      <w:keepNext/>
      <w:spacing w:before="240" w:after="120"/>
    </w:pPr>
    <w:rPr>
      <w:b/>
      <w:bCs/>
      <w:sz w:val="36"/>
      <w:szCs w:val="32"/>
    </w:rPr>
  </w:style>
  <w:style w:type="character" w:styleId="CommentReference">
    <w:name w:val="annotation reference"/>
    <w:basedOn w:val="DefaultParagraphFont"/>
    <w:uiPriority w:val="99"/>
    <w:semiHidden/>
    <w:unhideWhenUsed/>
    <w:rsid w:val="00F54CD5"/>
    <w:rPr>
      <w:sz w:val="16"/>
      <w:szCs w:val="16"/>
    </w:rPr>
  </w:style>
  <w:style w:type="paragraph" w:styleId="CommentText">
    <w:name w:val="annotation text"/>
    <w:basedOn w:val="Normal"/>
    <w:link w:val="CommentTextChar"/>
    <w:uiPriority w:val="99"/>
    <w:unhideWhenUsed/>
    <w:rsid w:val="00F54CD5"/>
    <w:pPr>
      <w:spacing w:line="240" w:lineRule="auto"/>
    </w:pPr>
    <w:rPr>
      <w:sz w:val="20"/>
      <w:szCs w:val="20"/>
    </w:rPr>
  </w:style>
  <w:style w:type="character" w:customStyle="1" w:styleId="CommentTextChar">
    <w:name w:val="Comment Text Char"/>
    <w:basedOn w:val="DefaultParagraphFont"/>
    <w:link w:val="CommentText"/>
    <w:uiPriority w:val="99"/>
    <w:rsid w:val="00F54CD5"/>
    <w:rPr>
      <w:sz w:val="20"/>
      <w:szCs w:val="20"/>
    </w:rPr>
  </w:style>
  <w:style w:type="paragraph" w:styleId="CommentSubject">
    <w:name w:val="annotation subject"/>
    <w:basedOn w:val="CommentText"/>
    <w:next w:val="CommentText"/>
    <w:link w:val="CommentSubjectChar"/>
    <w:uiPriority w:val="99"/>
    <w:semiHidden/>
    <w:unhideWhenUsed/>
    <w:rsid w:val="00F54CD5"/>
    <w:rPr>
      <w:b/>
      <w:bCs/>
    </w:rPr>
  </w:style>
  <w:style w:type="character" w:customStyle="1" w:styleId="CommentSubjectChar">
    <w:name w:val="Comment Subject Char"/>
    <w:basedOn w:val="CommentTextChar"/>
    <w:link w:val="CommentSubject"/>
    <w:uiPriority w:val="99"/>
    <w:semiHidden/>
    <w:rsid w:val="00F54CD5"/>
    <w:rPr>
      <w:b/>
      <w:bCs/>
      <w:sz w:val="20"/>
      <w:szCs w:val="20"/>
    </w:rPr>
  </w:style>
  <w:style w:type="paragraph" w:customStyle="1" w:styleId="ACGRBody">
    <w:name w:val="*ACGR Body"/>
    <w:basedOn w:val="Normal"/>
    <w:qFormat/>
    <w:rsid w:val="00443CD2"/>
    <w:rPr>
      <w:rFonts w:cstheme="minorHAnsi"/>
      <w:sz w:val="28"/>
      <w:szCs w:val="24"/>
    </w:rPr>
  </w:style>
  <w:style w:type="paragraph" w:styleId="FootnoteText">
    <w:name w:val="footnote text"/>
    <w:basedOn w:val="Normal"/>
    <w:link w:val="FootnoteTextChar"/>
    <w:uiPriority w:val="99"/>
    <w:semiHidden/>
    <w:unhideWhenUsed/>
    <w:rsid w:val="003255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501"/>
    <w:rPr>
      <w:sz w:val="20"/>
      <w:szCs w:val="20"/>
    </w:rPr>
  </w:style>
  <w:style w:type="character" w:styleId="FootnoteReference">
    <w:name w:val="footnote reference"/>
    <w:basedOn w:val="DefaultParagraphFont"/>
    <w:uiPriority w:val="99"/>
    <w:semiHidden/>
    <w:unhideWhenUsed/>
    <w:rsid w:val="00325501"/>
    <w:rPr>
      <w:vertAlign w:val="superscript"/>
    </w:rPr>
  </w:style>
  <w:style w:type="paragraph" w:styleId="Header">
    <w:name w:val="header"/>
    <w:basedOn w:val="Normal"/>
    <w:link w:val="HeaderChar"/>
    <w:uiPriority w:val="99"/>
    <w:unhideWhenUsed/>
    <w:rsid w:val="00970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FE4"/>
  </w:style>
  <w:style w:type="paragraph" w:styleId="Footer">
    <w:name w:val="footer"/>
    <w:basedOn w:val="Normal"/>
    <w:link w:val="FooterChar"/>
    <w:uiPriority w:val="99"/>
    <w:unhideWhenUsed/>
    <w:rsid w:val="00970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FE4"/>
  </w:style>
  <w:style w:type="paragraph" w:customStyle="1" w:styleId="ACGRRunningHead">
    <w:name w:val="* ACGR Running Head"/>
    <w:basedOn w:val="Header"/>
    <w:qFormat/>
    <w:rsid w:val="00443CD2"/>
    <w:rPr>
      <w:i/>
      <w:iCs/>
      <w:sz w:val="20"/>
    </w:rPr>
  </w:style>
  <w:style w:type="paragraph" w:styleId="NormalWeb">
    <w:name w:val="Normal (Web)"/>
    <w:basedOn w:val="Normal"/>
    <w:uiPriority w:val="99"/>
    <w:semiHidden/>
    <w:unhideWhenUsed/>
    <w:rsid w:val="006A20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17C"/>
    <w:pPr>
      <w:ind w:left="720"/>
      <w:contextualSpacing/>
    </w:pPr>
  </w:style>
  <w:style w:type="paragraph" w:customStyle="1" w:styleId="ACGRHeading1">
    <w:name w:val="*ACGR Heading 1"/>
    <w:basedOn w:val="Normal"/>
    <w:qFormat/>
    <w:rsid w:val="00C867E0"/>
    <w:pPr>
      <w:spacing w:before="240" w:after="120"/>
    </w:pPr>
    <w:rPr>
      <w:b/>
      <w:bCs/>
      <w:sz w:val="52"/>
      <w:szCs w:val="32"/>
    </w:rPr>
  </w:style>
  <w:style w:type="paragraph" w:customStyle="1" w:styleId="ACGRHeading2">
    <w:name w:val="* ACGR Heading 2"/>
    <w:basedOn w:val="Normal"/>
    <w:qFormat/>
    <w:rsid w:val="00C867E0"/>
    <w:pPr>
      <w:keepNext/>
      <w:spacing w:before="240" w:after="120"/>
    </w:pPr>
    <w:rPr>
      <w:b/>
      <w:bCs/>
      <w:sz w:val="36"/>
      <w:szCs w:val="32"/>
    </w:rPr>
  </w:style>
  <w:style w:type="character" w:styleId="CommentReference">
    <w:name w:val="annotation reference"/>
    <w:basedOn w:val="DefaultParagraphFont"/>
    <w:uiPriority w:val="99"/>
    <w:semiHidden/>
    <w:unhideWhenUsed/>
    <w:rsid w:val="00F54CD5"/>
    <w:rPr>
      <w:sz w:val="16"/>
      <w:szCs w:val="16"/>
    </w:rPr>
  </w:style>
  <w:style w:type="paragraph" w:styleId="CommentText">
    <w:name w:val="annotation text"/>
    <w:basedOn w:val="Normal"/>
    <w:link w:val="CommentTextChar"/>
    <w:uiPriority w:val="99"/>
    <w:unhideWhenUsed/>
    <w:rsid w:val="00F54CD5"/>
    <w:pPr>
      <w:spacing w:line="240" w:lineRule="auto"/>
    </w:pPr>
    <w:rPr>
      <w:sz w:val="20"/>
      <w:szCs w:val="20"/>
    </w:rPr>
  </w:style>
  <w:style w:type="character" w:customStyle="1" w:styleId="CommentTextChar">
    <w:name w:val="Comment Text Char"/>
    <w:basedOn w:val="DefaultParagraphFont"/>
    <w:link w:val="CommentText"/>
    <w:uiPriority w:val="99"/>
    <w:rsid w:val="00F54CD5"/>
    <w:rPr>
      <w:sz w:val="20"/>
      <w:szCs w:val="20"/>
    </w:rPr>
  </w:style>
  <w:style w:type="paragraph" w:styleId="CommentSubject">
    <w:name w:val="annotation subject"/>
    <w:basedOn w:val="CommentText"/>
    <w:next w:val="CommentText"/>
    <w:link w:val="CommentSubjectChar"/>
    <w:uiPriority w:val="99"/>
    <w:semiHidden/>
    <w:unhideWhenUsed/>
    <w:rsid w:val="00F54CD5"/>
    <w:rPr>
      <w:b/>
      <w:bCs/>
    </w:rPr>
  </w:style>
  <w:style w:type="character" w:customStyle="1" w:styleId="CommentSubjectChar">
    <w:name w:val="Comment Subject Char"/>
    <w:basedOn w:val="CommentTextChar"/>
    <w:link w:val="CommentSubject"/>
    <w:uiPriority w:val="99"/>
    <w:semiHidden/>
    <w:rsid w:val="00F54CD5"/>
    <w:rPr>
      <w:b/>
      <w:bCs/>
      <w:sz w:val="20"/>
      <w:szCs w:val="20"/>
    </w:rPr>
  </w:style>
  <w:style w:type="paragraph" w:customStyle="1" w:styleId="ACGRBody">
    <w:name w:val="*ACGR Body"/>
    <w:basedOn w:val="Normal"/>
    <w:qFormat/>
    <w:rsid w:val="00443CD2"/>
    <w:rPr>
      <w:rFonts w:cstheme="minorHAnsi"/>
      <w:sz w:val="28"/>
      <w:szCs w:val="24"/>
    </w:rPr>
  </w:style>
  <w:style w:type="paragraph" w:styleId="FootnoteText">
    <w:name w:val="footnote text"/>
    <w:basedOn w:val="Normal"/>
    <w:link w:val="FootnoteTextChar"/>
    <w:uiPriority w:val="99"/>
    <w:semiHidden/>
    <w:unhideWhenUsed/>
    <w:rsid w:val="003255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501"/>
    <w:rPr>
      <w:sz w:val="20"/>
      <w:szCs w:val="20"/>
    </w:rPr>
  </w:style>
  <w:style w:type="character" w:styleId="FootnoteReference">
    <w:name w:val="footnote reference"/>
    <w:basedOn w:val="DefaultParagraphFont"/>
    <w:uiPriority w:val="99"/>
    <w:semiHidden/>
    <w:unhideWhenUsed/>
    <w:rsid w:val="00325501"/>
    <w:rPr>
      <w:vertAlign w:val="superscript"/>
    </w:rPr>
  </w:style>
  <w:style w:type="paragraph" w:styleId="Header">
    <w:name w:val="header"/>
    <w:basedOn w:val="Normal"/>
    <w:link w:val="HeaderChar"/>
    <w:uiPriority w:val="99"/>
    <w:unhideWhenUsed/>
    <w:rsid w:val="00970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FE4"/>
  </w:style>
  <w:style w:type="paragraph" w:styleId="Footer">
    <w:name w:val="footer"/>
    <w:basedOn w:val="Normal"/>
    <w:link w:val="FooterChar"/>
    <w:uiPriority w:val="99"/>
    <w:unhideWhenUsed/>
    <w:rsid w:val="00970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FE4"/>
  </w:style>
  <w:style w:type="paragraph" w:customStyle="1" w:styleId="ACGRRunningHead">
    <w:name w:val="* ACGR Running Head"/>
    <w:basedOn w:val="Header"/>
    <w:qFormat/>
    <w:rsid w:val="00443CD2"/>
    <w:rPr>
      <w:i/>
      <w:iCs/>
      <w:sz w:val="20"/>
    </w:rPr>
  </w:style>
  <w:style w:type="paragraph" w:styleId="NormalWeb">
    <w:name w:val="Normal (Web)"/>
    <w:basedOn w:val="Normal"/>
    <w:uiPriority w:val="99"/>
    <w:semiHidden/>
    <w:unhideWhenUsed/>
    <w:rsid w:val="006A20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953745">
      <w:bodyDiv w:val="1"/>
      <w:marLeft w:val="0"/>
      <w:marRight w:val="0"/>
      <w:marTop w:val="0"/>
      <w:marBottom w:val="0"/>
      <w:divBdr>
        <w:top w:val="none" w:sz="0" w:space="0" w:color="auto"/>
        <w:left w:val="none" w:sz="0" w:space="0" w:color="auto"/>
        <w:bottom w:val="none" w:sz="0" w:space="0" w:color="auto"/>
        <w:right w:val="none" w:sz="0" w:space="0" w:color="auto"/>
      </w:divBdr>
      <w:divsChild>
        <w:div w:id="1410689440">
          <w:marLeft w:val="0"/>
          <w:marRight w:val="0"/>
          <w:marTop w:val="0"/>
          <w:marBottom w:val="0"/>
          <w:divBdr>
            <w:top w:val="none" w:sz="0" w:space="0" w:color="auto"/>
            <w:left w:val="none" w:sz="0" w:space="0" w:color="auto"/>
            <w:bottom w:val="none" w:sz="0" w:space="0" w:color="auto"/>
            <w:right w:val="none" w:sz="0" w:space="0" w:color="auto"/>
          </w:divBdr>
        </w:div>
        <w:div w:id="1018308677">
          <w:marLeft w:val="0"/>
          <w:marRight w:val="0"/>
          <w:marTop w:val="0"/>
          <w:marBottom w:val="0"/>
          <w:divBdr>
            <w:top w:val="none" w:sz="0" w:space="0" w:color="auto"/>
            <w:left w:val="none" w:sz="0" w:space="0" w:color="auto"/>
            <w:bottom w:val="none" w:sz="0" w:space="0" w:color="auto"/>
            <w:right w:val="none" w:sz="0" w:space="0" w:color="auto"/>
          </w:divBdr>
        </w:div>
        <w:div w:id="1756632168">
          <w:marLeft w:val="0"/>
          <w:marRight w:val="0"/>
          <w:marTop w:val="0"/>
          <w:marBottom w:val="0"/>
          <w:divBdr>
            <w:top w:val="none" w:sz="0" w:space="0" w:color="auto"/>
            <w:left w:val="none" w:sz="0" w:space="0" w:color="auto"/>
            <w:bottom w:val="none" w:sz="0" w:space="0" w:color="auto"/>
            <w:right w:val="none" w:sz="0" w:space="0" w:color="auto"/>
          </w:divBdr>
        </w:div>
        <w:div w:id="1610698757">
          <w:marLeft w:val="0"/>
          <w:marRight w:val="0"/>
          <w:marTop w:val="0"/>
          <w:marBottom w:val="0"/>
          <w:divBdr>
            <w:top w:val="none" w:sz="0" w:space="0" w:color="auto"/>
            <w:left w:val="none" w:sz="0" w:space="0" w:color="auto"/>
            <w:bottom w:val="none" w:sz="0" w:space="0" w:color="auto"/>
            <w:right w:val="none" w:sz="0" w:space="0" w:color="auto"/>
          </w:divBdr>
        </w:div>
        <w:div w:id="1888178119">
          <w:marLeft w:val="0"/>
          <w:marRight w:val="0"/>
          <w:marTop w:val="0"/>
          <w:marBottom w:val="0"/>
          <w:divBdr>
            <w:top w:val="none" w:sz="0" w:space="0" w:color="auto"/>
            <w:left w:val="none" w:sz="0" w:space="0" w:color="auto"/>
            <w:bottom w:val="none" w:sz="0" w:space="0" w:color="auto"/>
            <w:right w:val="none" w:sz="0" w:space="0" w:color="auto"/>
          </w:divBdr>
        </w:div>
        <w:div w:id="508368922">
          <w:marLeft w:val="0"/>
          <w:marRight w:val="0"/>
          <w:marTop w:val="0"/>
          <w:marBottom w:val="0"/>
          <w:divBdr>
            <w:top w:val="none" w:sz="0" w:space="0" w:color="auto"/>
            <w:left w:val="none" w:sz="0" w:space="0" w:color="auto"/>
            <w:bottom w:val="none" w:sz="0" w:space="0" w:color="auto"/>
            <w:right w:val="none" w:sz="0" w:space="0" w:color="auto"/>
          </w:divBdr>
        </w:div>
        <w:div w:id="767625710">
          <w:marLeft w:val="0"/>
          <w:marRight w:val="0"/>
          <w:marTop w:val="0"/>
          <w:marBottom w:val="0"/>
          <w:divBdr>
            <w:top w:val="none" w:sz="0" w:space="0" w:color="auto"/>
            <w:left w:val="none" w:sz="0" w:space="0" w:color="auto"/>
            <w:bottom w:val="none" w:sz="0" w:space="0" w:color="auto"/>
            <w:right w:val="none" w:sz="0" w:space="0" w:color="auto"/>
          </w:divBdr>
        </w:div>
        <w:div w:id="157621619">
          <w:marLeft w:val="0"/>
          <w:marRight w:val="0"/>
          <w:marTop w:val="0"/>
          <w:marBottom w:val="0"/>
          <w:divBdr>
            <w:top w:val="none" w:sz="0" w:space="0" w:color="auto"/>
            <w:left w:val="none" w:sz="0" w:space="0" w:color="auto"/>
            <w:bottom w:val="none" w:sz="0" w:space="0" w:color="auto"/>
            <w:right w:val="none" w:sz="0" w:space="0" w:color="auto"/>
          </w:divBdr>
        </w:div>
        <w:div w:id="1315524452">
          <w:marLeft w:val="0"/>
          <w:marRight w:val="0"/>
          <w:marTop w:val="0"/>
          <w:marBottom w:val="0"/>
          <w:divBdr>
            <w:top w:val="none" w:sz="0" w:space="0" w:color="auto"/>
            <w:left w:val="none" w:sz="0" w:space="0" w:color="auto"/>
            <w:bottom w:val="none" w:sz="0" w:space="0" w:color="auto"/>
            <w:right w:val="none" w:sz="0" w:space="0" w:color="auto"/>
          </w:divBdr>
        </w:div>
        <w:div w:id="1593737025">
          <w:marLeft w:val="0"/>
          <w:marRight w:val="0"/>
          <w:marTop w:val="0"/>
          <w:marBottom w:val="0"/>
          <w:divBdr>
            <w:top w:val="none" w:sz="0" w:space="0" w:color="auto"/>
            <w:left w:val="none" w:sz="0" w:space="0" w:color="auto"/>
            <w:bottom w:val="none" w:sz="0" w:space="0" w:color="auto"/>
            <w:right w:val="none" w:sz="0" w:space="0" w:color="auto"/>
          </w:divBdr>
        </w:div>
        <w:div w:id="229191212">
          <w:marLeft w:val="0"/>
          <w:marRight w:val="0"/>
          <w:marTop w:val="0"/>
          <w:marBottom w:val="0"/>
          <w:divBdr>
            <w:top w:val="none" w:sz="0" w:space="0" w:color="auto"/>
            <w:left w:val="none" w:sz="0" w:space="0" w:color="auto"/>
            <w:bottom w:val="none" w:sz="0" w:space="0" w:color="auto"/>
            <w:right w:val="none" w:sz="0" w:space="0" w:color="auto"/>
          </w:divBdr>
        </w:div>
        <w:div w:id="1376151397">
          <w:marLeft w:val="0"/>
          <w:marRight w:val="0"/>
          <w:marTop w:val="0"/>
          <w:marBottom w:val="0"/>
          <w:divBdr>
            <w:top w:val="none" w:sz="0" w:space="0" w:color="auto"/>
            <w:left w:val="none" w:sz="0" w:space="0" w:color="auto"/>
            <w:bottom w:val="none" w:sz="0" w:space="0" w:color="auto"/>
            <w:right w:val="none" w:sz="0" w:space="0" w:color="auto"/>
          </w:divBdr>
        </w:div>
        <w:div w:id="721563746">
          <w:marLeft w:val="0"/>
          <w:marRight w:val="0"/>
          <w:marTop w:val="0"/>
          <w:marBottom w:val="0"/>
          <w:divBdr>
            <w:top w:val="none" w:sz="0" w:space="0" w:color="auto"/>
            <w:left w:val="none" w:sz="0" w:space="0" w:color="auto"/>
            <w:bottom w:val="none" w:sz="0" w:space="0" w:color="auto"/>
            <w:right w:val="none" w:sz="0" w:space="0" w:color="auto"/>
          </w:divBdr>
        </w:div>
        <w:div w:id="1169757873">
          <w:marLeft w:val="0"/>
          <w:marRight w:val="0"/>
          <w:marTop w:val="0"/>
          <w:marBottom w:val="0"/>
          <w:divBdr>
            <w:top w:val="none" w:sz="0" w:space="0" w:color="auto"/>
            <w:left w:val="none" w:sz="0" w:space="0" w:color="auto"/>
            <w:bottom w:val="none" w:sz="0" w:space="0" w:color="auto"/>
            <w:right w:val="none" w:sz="0" w:space="0" w:color="auto"/>
          </w:divBdr>
        </w:div>
        <w:div w:id="71052779">
          <w:marLeft w:val="0"/>
          <w:marRight w:val="0"/>
          <w:marTop w:val="0"/>
          <w:marBottom w:val="0"/>
          <w:divBdr>
            <w:top w:val="none" w:sz="0" w:space="0" w:color="auto"/>
            <w:left w:val="none" w:sz="0" w:space="0" w:color="auto"/>
            <w:bottom w:val="none" w:sz="0" w:space="0" w:color="auto"/>
            <w:right w:val="none" w:sz="0" w:space="0" w:color="auto"/>
          </w:divBdr>
        </w:div>
      </w:divsChild>
    </w:div>
    <w:div w:id="1244488760">
      <w:bodyDiv w:val="1"/>
      <w:marLeft w:val="0"/>
      <w:marRight w:val="0"/>
      <w:marTop w:val="0"/>
      <w:marBottom w:val="0"/>
      <w:divBdr>
        <w:top w:val="none" w:sz="0" w:space="0" w:color="auto"/>
        <w:left w:val="none" w:sz="0" w:space="0" w:color="auto"/>
        <w:bottom w:val="none" w:sz="0" w:space="0" w:color="auto"/>
        <w:right w:val="none" w:sz="0" w:space="0" w:color="auto"/>
      </w:divBdr>
    </w:div>
    <w:div w:id="1417046507">
      <w:bodyDiv w:val="1"/>
      <w:marLeft w:val="0"/>
      <w:marRight w:val="0"/>
      <w:marTop w:val="0"/>
      <w:marBottom w:val="0"/>
      <w:divBdr>
        <w:top w:val="none" w:sz="0" w:space="0" w:color="auto"/>
        <w:left w:val="none" w:sz="0" w:space="0" w:color="auto"/>
        <w:bottom w:val="none" w:sz="0" w:space="0" w:color="auto"/>
        <w:right w:val="none" w:sz="0" w:space="0" w:color="auto"/>
      </w:divBdr>
    </w:div>
    <w:div w:id="1467895044">
      <w:bodyDiv w:val="1"/>
      <w:marLeft w:val="0"/>
      <w:marRight w:val="0"/>
      <w:marTop w:val="0"/>
      <w:marBottom w:val="0"/>
      <w:divBdr>
        <w:top w:val="none" w:sz="0" w:space="0" w:color="auto"/>
        <w:left w:val="none" w:sz="0" w:space="0" w:color="auto"/>
        <w:bottom w:val="none" w:sz="0" w:space="0" w:color="auto"/>
        <w:right w:val="none" w:sz="0" w:space="0" w:color="auto"/>
      </w:divBdr>
    </w:div>
    <w:div w:id="151279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oter" Target="footer4.xml"/><Relationship Id="rId17" Type="http://schemas.openxmlformats.org/officeDocument/2006/relationships/header" Target="header6.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856</Words>
  <Characters>4880</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dc:creator>
  <cp:keywords/>
  <dc:description/>
  <cp:lastModifiedBy>Fiona Zammit</cp:lastModifiedBy>
  <cp:revision>2</cp:revision>
  <dcterms:created xsi:type="dcterms:W3CDTF">2022-03-31T09:32:00Z</dcterms:created>
  <dcterms:modified xsi:type="dcterms:W3CDTF">2022-03-31T09:32:00Z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382bf1-026c-423b-a2f3-9729d1fde3ca_Enabled">
    <vt:lpwstr>true</vt:lpwstr>
  </property>
  <property fmtid="{D5CDD505-2E9C-101B-9397-08002B2CF9AE}" pid="3" name="MSIP_Label_37382bf1-026c-423b-a2f3-9729d1fde3ca_SetDate">
    <vt:lpwstr>2021-12-14T03:33:12Z</vt:lpwstr>
  </property>
  <property fmtid="{D5CDD505-2E9C-101B-9397-08002B2CF9AE}" pid="4" name="MSIP_Label_37382bf1-026c-423b-a2f3-9729d1fde3ca_Method">
    <vt:lpwstr>Privileged</vt:lpwstr>
  </property>
  <property fmtid="{D5CDD505-2E9C-101B-9397-08002B2CF9AE}" pid="5" name="MSIP_Label_37382bf1-026c-423b-a2f3-9729d1fde3ca_Name">
    <vt:lpwstr>OFFICIAL - PUBLIC</vt:lpwstr>
  </property>
  <property fmtid="{D5CDD505-2E9C-101B-9397-08002B2CF9AE}" pid="6" name="MSIP_Label_37382bf1-026c-423b-a2f3-9729d1fde3ca_SiteId">
    <vt:lpwstr>b6e377cf-9db3-46cb-91a2-fad9605bb15c</vt:lpwstr>
  </property>
  <property fmtid="{D5CDD505-2E9C-101B-9397-08002B2CF9AE}" pid="7" name="MSIP_Label_37382bf1-026c-423b-a2f3-9729d1fde3ca_ActionId">
    <vt:lpwstr>6986f4ce-9ee6-454f-b659-15381b031ec2</vt:lpwstr>
  </property>
  <property fmtid="{D5CDD505-2E9C-101B-9397-08002B2CF9AE}" pid="8" name="MSIP_Label_37382bf1-026c-423b-a2f3-9729d1fde3ca_ContentBits">
    <vt:lpwstr>0</vt:lpwstr>
  </property>
</Properties>
</file>