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60029" w14:textId="15DB278D" w:rsidR="00FB2D48" w:rsidRDefault="00915E62" w:rsidP="00FB2D48">
      <w:r w:rsidRPr="00FB2D48">
        <w:rPr>
          <w:b/>
          <w:bCs/>
          <w:sz w:val="28"/>
          <w:szCs w:val="28"/>
        </w:rPr>
        <w:t xml:space="preserve">ACGR </w:t>
      </w:r>
      <w:r w:rsidR="00FB2D48">
        <w:rPr>
          <w:b/>
          <w:bCs/>
          <w:sz w:val="28"/>
          <w:szCs w:val="28"/>
        </w:rPr>
        <w:t xml:space="preserve">Good Practice </w:t>
      </w:r>
      <w:r w:rsidRPr="00FB2D48">
        <w:rPr>
          <w:b/>
          <w:bCs/>
          <w:sz w:val="28"/>
          <w:szCs w:val="28"/>
        </w:rPr>
        <w:t xml:space="preserve">Guidelines </w:t>
      </w:r>
      <w:r w:rsidR="002542D5">
        <w:rPr>
          <w:b/>
          <w:bCs/>
          <w:sz w:val="28"/>
          <w:szCs w:val="28"/>
        </w:rPr>
        <w:t>for</w:t>
      </w:r>
      <w:r w:rsidRPr="00FB2D48">
        <w:t xml:space="preserve"> </w:t>
      </w:r>
    </w:p>
    <w:p w14:paraId="2AB8409F" w14:textId="1388FA9B" w:rsidR="00C701D8" w:rsidRDefault="00915E62" w:rsidP="00FB2D48">
      <w:pPr>
        <w:rPr>
          <w:b/>
          <w:bCs/>
          <w:sz w:val="52"/>
          <w:szCs w:val="52"/>
        </w:rPr>
      </w:pPr>
      <w:r w:rsidRPr="00FB2D48">
        <w:rPr>
          <w:b/>
          <w:bCs/>
          <w:sz w:val="52"/>
          <w:szCs w:val="52"/>
        </w:rPr>
        <w:t xml:space="preserve">Mental Health </w:t>
      </w:r>
      <w:r w:rsidR="00FB2D48">
        <w:rPr>
          <w:b/>
          <w:bCs/>
          <w:sz w:val="52"/>
          <w:szCs w:val="52"/>
        </w:rPr>
        <w:t>and</w:t>
      </w:r>
      <w:r w:rsidR="00FB2D48" w:rsidRPr="00FB2D48">
        <w:rPr>
          <w:b/>
          <w:bCs/>
          <w:sz w:val="52"/>
          <w:szCs w:val="52"/>
        </w:rPr>
        <w:t xml:space="preserve"> </w:t>
      </w:r>
      <w:r w:rsidRPr="00FB2D48">
        <w:rPr>
          <w:b/>
          <w:bCs/>
          <w:sz w:val="52"/>
          <w:szCs w:val="52"/>
        </w:rPr>
        <w:t>Wellbeing in Graduate Research Education</w:t>
      </w:r>
    </w:p>
    <w:p w14:paraId="7F79058B" w14:textId="028F0DB6" w:rsidR="00FB2D48" w:rsidRDefault="00FB2D48" w:rsidP="00FB2D48">
      <w:r>
        <w:t xml:space="preserve">Version 1: </w:t>
      </w:r>
      <w:r w:rsidR="004356BB">
        <w:t xml:space="preserve">July </w:t>
      </w:r>
      <w:r>
        <w:t>2021</w:t>
      </w:r>
    </w:p>
    <w:p w14:paraId="1BF0C9C3" w14:textId="77777777" w:rsidR="00FB2D48" w:rsidRPr="00FB2D48" w:rsidRDefault="00FB2D48" w:rsidP="00FB2D48">
      <w:pPr>
        <w:rPr>
          <w:b/>
          <w:bCs/>
          <w:sz w:val="52"/>
          <w:szCs w:val="52"/>
        </w:rPr>
      </w:pPr>
    </w:p>
    <w:p w14:paraId="275015A2" w14:textId="2EF89885" w:rsidR="00DF24FF" w:rsidRPr="00DF24FF" w:rsidRDefault="00DF24FF" w:rsidP="00DF24FF">
      <w:pPr>
        <w:spacing w:after="0" w:line="240" w:lineRule="auto"/>
        <w:jc w:val="center"/>
        <w:rPr>
          <w:rFonts w:ascii="Times New Roman" w:eastAsia="Times New Roman" w:hAnsi="Times New Roman" w:cs="Times New Roman"/>
          <w:sz w:val="24"/>
          <w:szCs w:val="24"/>
          <w:lang w:eastAsia="en-GB"/>
        </w:rPr>
      </w:pPr>
      <w:r w:rsidRPr="00DF24FF">
        <w:rPr>
          <w:rFonts w:ascii="Times New Roman" w:eastAsia="Times New Roman" w:hAnsi="Times New Roman" w:cs="Times New Roman"/>
          <w:sz w:val="24"/>
          <w:szCs w:val="24"/>
          <w:lang w:eastAsia="en-GB"/>
        </w:rPr>
        <w:fldChar w:fldCharType="begin"/>
      </w:r>
      <w:r w:rsidRPr="00DF24FF">
        <w:rPr>
          <w:rFonts w:ascii="Times New Roman" w:eastAsia="Times New Roman" w:hAnsi="Times New Roman" w:cs="Times New Roman"/>
          <w:sz w:val="24"/>
          <w:szCs w:val="24"/>
          <w:lang w:eastAsia="en-GB"/>
        </w:rPr>
        <w:instrText xml:space="preserve"> INCLUDEPICTURE "https://www.acgr.edu.au/wp-content/themes/aggy/images/ACGR-logo.png" \* MERGEFORMATINET </w:instrText>
      </w:r>
      <w:r w:rsidRPr="00DF24FF">
        <w:rPr>
          <w:rFonts w:ascii="Times New Roman" w:eastAsia="Times New Roman" w:hAnsi="Times New Roman" w:cs="Times New Roman"/>
          <w:sz w:val="24"/>
          <w:szCs w:val="24"/>
          <w:lang w:eastAsia="en-GB"/>
        </w:rPr>
        <w:fldChar w:fldCharType="separate"/>
      </w:r>
      <w:r w:rsidRPr="00DF24FF">
        <w:rPr>
          <w:rFonts w:ascii="Times New Roman" w:eastAsia="Times New Roman" w:hAnsi="Times New Roman" w:cs="Times New Roman"/>
          <w:noProof/>
          <w:sz w:val="24"/>
          <w:szCs w:val="24"/>
          <w:lang w:eastAsia="en-GB"/>
        </w:rPr>
        <w:drawing>
          <wp:inline distT="0" distB="0" distL="0" distR="0" wp14:anchorId="7B592E3F" wp14:editId="79BBD0CC">
            <wp:extent cx="3189516" cy="2351319"/>
            <wp:effectExtent l="0" t="0" r="0" b="0"/>
            <wp:docPr id="1" name="Picture 1" descr="Australian Council of Graduate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Council of Graduate Resear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0958" cy="2374498"/>
                    </a:xfrm>
                    <a:prstGeom prst="rect">
                      <a:avLst/>
                    </a:prstGeom>
                    <a:noFill/>
                    <a:ln>
                      <a:noFill/>
                    </a:ln>
                  </pic:spPr>
                </pic:pic>
              </a:graphicData>
            </a:graphic>
          </wp:inline>
        </w:drawing>
      </w:r>
      <w:r w:rsidRPr="00DF24FF">
        <w:rPr>
          <w:rFonts w:ascii="Times New Roman" w:eastAsia="Times New Roman" w:hAnsi="Times New Roman" w:cs="Times New Roman"/>
          <w:sz w:val="24"/>
          <w:szCs w:val="24"/>
          <w:lang w:eastAsia="en-GB"/>
        </w:rPr>
        <w:fldChar w:fldCharType="end"/>
      </w:r>
    </w:p>
    <w:p w14:paraId="45CD30DF" w14:textId="77777777" w:rsidR="00FB2D48" w:rsidRDefault="00FB2D48">
      <w:r>
        <w:br w:type="page"/>
      </w:r>
    </w:p>
    <w:p w14:paraId="5E4B1B6A" w14:textId="0902D07F" w:rsidR="00915E62" w:rsidRPr="00FB2D48" w:rsidRDefault="00FB2D48" w:rsidP="00FB2D48">
      <w:pPr>
        <w:pStyle w:val="ACGRHeading2"/>
      </w:pPr>
      <w:r>
        <w:lastRenderedPageBreak/>
        <w:t>About these Guidelines</w:t>
      </w:r>
    </w:p>
    <w:p w14:paraId="7B4472B6" w14:textId="5C83615A" w:rsidR="002542D5" w:rsidRPr="00FB2D48" w:rsidRDefault="002542D5" w:rsidP="00FB2D48">
      <w:pPr>
        <w:pStyle w:val="ACGRBody"/>
      </w:pPr>
      <w:r>
        <w:t xml:space="preserve">The </w:t>
      </w:r>
      <w:r w:rsidR="00F31A37" w:rsidRPr="00FB2D48">
        <w:t>World Health Organisation</w:t>
      </w:r>
      <w:r>
        <w:t xml:space="preserve"> defines mental health as </w:t>
      </w:r>
      <w:r w:rsidRPr="00FB2D48">
        <w:t xml:space="preserve">a state of well-being in which </w:t>
      </w:r>
      <w:r>
        <w:t xml:space="preserve">individuals can </w:t>
      </w:r>
      <w:r w:rsidRPr="00FB2D48">
        <w:t xml:space="preserve">realise </w:t>
      </w:r>
      <w:r>
        <w:t>their</w:t>
      </w:r>
      <w:r w:rsidRPr="00FB2D48">
        <w:t xml:space="preserve"> potential, cope with the normal stresses of life, work productively and </w:t>
      </w:r>
      <w:r>
        <w:t>contribute to the</w:t>
      </w:r>
      <w:r w:rsidRPr="00FB2D48">
        <w:t xml:space="preserve"> community.</w:t>
      </w:r>
      <w:r>
        <w:rPr>
          <w:rStyle w:val="FootnoteReference"/>
        </w:rPr>
        <w:footnoteReference w:id="1"/>
      </w:r>
      <w:r w:rsidR="00F31A37" w:rsidRPr="00FB2D48">
        <w:t xml:space="preserve"> </w:t>
      </w:r>
    </w:p>
    <w:p w14:paraId="516232FB" w14:textId="02CE1FAB" w:rsidR="002542D5" w:rsidRDefault="002542D5" w:rsidP="00FB2D48">
      <w:pPr>
        <w:pStyle w:val="ACGRBody"/>
      </w:pPr>
      <w:r w:rsidRPr="00FB2D48">
        <w:t xml:space="preserve">The ACGR community has learned extensively about mental health </w:t>
      </w:r>
      <w:r>
        <w:t>and</w:t>
      </w:r>
      <w:r w:rsidRPr="00FB2D48">
        <w:t xml:space="preserve"> wellbeing in recent years</w:t>
      </w:r>
      <w:r>
        <w:t xml:space="preserve">. </w:t>
      </w:r>
      <w:r w:rsidR="0051307B" w:rsidRPr="00FB2D48">
        <w:t xml:space="preserve">Research training programs are rewarding, as candidates generate new knowledge as well as develop valued expertise, extensive networks, and career opportunities while they pursue their passions and interests.  Nevertheless, these programs can entail heavy workloads, candidate debt, and uncertain futures. Candidature and mental health are intertwined and affect one another. </w:t>
      </w:r>
      <w:r w:rsidR="00915E62" w:rsidRPr="00FB2D48">
        <w:t xml:space="preserve">ACGR recognises the </w:t>
      </w:r>
      <w:r w:rsidR="001C7CEC" w:rsidRPr="00FB2D48">
        <w:t>significance</w:t>
      </w:r>
      <w:r w:rsidR="00915E62" w:rsidRPr="00FB2D48">
        <w:t xml:space="preserve"> of mental health </w:t>
      </w:r>
      <w:r w:rsidR="00FB2D48">
        <w:t>and</w:t>
      </w:r>
      <w:r w:rsidR="00915E62" w:rsidRPr="00FB2D48">
        <w:t xml:space="preserve"> wellbeing</w:t>
      </w:r>
      <w:r w:rsidR="00673E95" w:rsidRPr="00FB2D48">
        <w:t xml:space="preserve"> in graduate research education</w:t>
      </w:r>
      <w:r w:rsidR="001C7CEC" w:rsidRPr="00FB2D48">
        <w:t xml:space="preserve"> and the importance of actively supporting </w:t>
      </w:r>
      <w:r w:rsidR="008A2B6B" w:rsidRPr="00FB2D48">
        <w:t>wellbeing</w:t>
      </w:r>
      <w:r w:rsidR="00673E95" w:rsidRPr="00FB2D48">
        <w:t xml:space="preserve">. </w:t>
      </w:r>
    </w:p>
    <w:p w14:paraId="54C1A6D6" w14:textId="2A784257" w:rsidR="00FB2D48" w:rsidRDefault="00FB2D48" w:rsidP="00F96FF5">
      <w:pPr>
        <w:pStyle w:val="ACGRHeading2"/>
      </w:pPr>
      <w:r>
        <w:t>Using the Guidelines</w:t>
      </w:r>
    </w:p>
    <w:p w14:paraId="5796C790" w14:textId="77777777" w:rsidR="0051307B" w:rsidRDefault="0051307B" w:rsidP="002542D5">
      <w:pPr>
        <w:pStyle w:val="ACGRBody"/>
      </w:pPr>
      <w:r>
        <w:t>The</w:t>
      </w:r>
      <w:r w:rsidR="002542D5">
        <w:t xml:space="preserve"> </w:t>
      </w:r>
      <w:r w:rsidR="002542D5" w:rsidRPr="00F96FF5">
        <w:rPr>
          <w:i/>
          <w:iCs/>
        </w:rPr>
        <w:t>ACGR Good Practice Guidelines for Mental Health and Wellbeing in Graduate Research Education</w:t>
      </w:r>
      <w:r w:rsidR="002542D5" w:rsidRPr="00FB2D48">
        <w:t xml:space="preserve"> </w:t>
      </w:r>
      <w:r>
        <w:t xml:space="preserve">recommend an </w:t>
      </w:r>
      <w:r w:rsidR="002542D5" w:rsidRPr="00FB2D48">
        <w:t xml:space="preserve">integrated approach </w:t>
      </w:r>
      <w:r>
        <w:t>to this</w:t>
      </w:r>
      <w:r w:rsidR="002542D5" w:rsidRPr="00FB2D48">
        <w:t xml:space="preserve"> complex issue, focusing on modifiable factors that </w:t>
      </w:r>
      <w:r>
        <w:t>universities can influence</w:t>
      </w:r>
      <w:r w:rsidR="002542D5" w:rsidRPr="00FB2D48">
        <w:t xml:space="preserve">. </w:t>
      </w:r>
    </w:p>
    <w:p w14:paraId="27242E85" w14:textId="240D49A2" w:rsidR="002542D5" w:rsidRDefault="0051307B" w:rsidP="002542D5">
      <w:pPr>
        <w:pStyle w:val="ACGRBody"/>
      </w:pPr>
      <w:r>
        <w:t>Recommendations span a number of domains. Across each of these</w:t>
      </w:r>
      <w:r w:rsidR="002542D5" w:rsidRPr="00FB2D48">
        <w:t>, benchmarking and evaluation should be managed in a consistent and comparable way, to identify the quality and impact of measures adopted to improve the mental health and wellbeing of graduate research candidates.</w:t>
      </w:r>
    </w:p>
    <w:p w14:paraId="476DD8EA" w14:textId="0A146E8A" w:rsidR="004356BB" w:rsidRPr="004356BB" w:rsidRDefault="004356BB" w:rsidP="004356BB">
      <w:pPr>
        <w:pStyle w:val="ACGRBody"/>
      </w:pPr>
      <w:r>
        <w:t>This document is part of a suite of</w:t>
      </w:r>
      <w:r w:rsidR="0051307B">
        <w:t xml:space="preserve"> </w:t>
      </w:r>
      <w:r w:rsidRPr="004356BB">
        <w:t>Good Practice Guidelines</w:t>
      </w:r>
      <w:r>
        <w:rPr>
          <w:rStyle w:val="FootnoteReference"/>
        </w:rPr>
        <w:footnoteReference w:id="2"/>
      </w:r>
      <w:r w:rsidRPr="004356BB">
        <w:t xml:space="preserve"> that are designed to support institutions as they develop their strategies and processes in particular important areas of operation. </w:t>
      </w:r>
      <w:r>
        <w:t xml:space="preserve">They support the </w:t>
      </w:r>
      <w:r w:rsidRPr="004356BB">
        <w:t xml:space="preserve">Australian Graduate Research Good Practice Principles </w:t>
      </w:r>
      <w:r>
        <w:t xml:space="preserve">which </w:t>
      </w:r>
      <w:r w:rsidRPr="004356BB">
        <w:t xml:space="preserve">articulate a set of standards considered to be essential for the delivery of graduate research programs. </w:t>
      </w:r>
      <w:r>
        <w:t xml:space="preserve"> </w:t>
      </w:r>
    </w:p>
    <w:p w14:paraId="2CCE8D91" w14:textId="5C275DFA" w:rsidR="0051307B" w:rsidRDefault="0051307B" w:rsidP="002542D5">
      <w:pPr>
        <w:pStyle w:val="ACGRBody"/>
      </w:pPr>
    </w:p>
    <w:p w14:paraId="359E6668" w14:textId="77777777" w:rsidR="00FB2D48" w:rsidRPr="00FB2D48" w:rsidRDefault="00FB2D48" w:rsidP="00FB2D48"/>
    <w:p w14:paraId="294203CE" w14:textId="77777777" w:rsidR="00FB2D48" w:rsidRDefault="00FB2D48" w:rsidP="00FB2D48">
      <w:r>
        <w:br w:type="page"/>
      </w:r>
    </w:p>
    <w:p w14:paraId="5327EB41" w14:textId="14891889" w:rsidR="00FB2D48" w:rsidRDefault="00FB2D48" w:rsidP="00FB2D48">
      <w:pPr>
        <w:pStyle w:val="ACGRHeading1"/>
      </w:pPr>
      <w:r>
        <w:lastRenderedPageBreak/>
        <w:t>Recommendations</w:t>
      </w:r>
    </w:p>
    <w:p w14:paraId="6A7F0740" w14:textId="4C98923B" w:rsidR="00FB2D48" w:rsidRDefault="00FB2D48" w:rsidP="00FB2D48">
      <w:r>
        <w:t>ACGR makes the following recommendations to universities.</w:t>
      </w:r>
    </w:p>
    <w:p w14:paraId="40350B73" w14:textId="6BE83AD3" w:rsidR="00673E95" w:rsidRPr="00FB2D48" w:rsidRDefault="005F7CAC" w:rsidP="00FB2D48">
      <w:pPr>
        <w:pStyle w:val="ACGRHeading2"/>
      </w:pPr>
      <w:r w:rsidRPr="00FB2D48">
        <w:t xml:space="preserve">Culture, </w:t>
      </w:r>
      <w:r w:rsidR="00FB2D48">
        <w:t>c</w:t>
      </w:r>
      <w:r w:rsidR="00673E95" w:rsidRPr="00FB2D48">
        <w:t>ommunity</w:t>
      </w:r>
      <w:r w:rsidR="00FB2D48">
        <w:t xml:space="preserve"> and e</w:t>
      </w:r>
      <w:r w:rsidR="00673E95" w:rsidRPr="00FB2D48">
        <w:t>nvironment</w:t>
      </w:r>
    </w:p>
    <w:p w14:paraId="3E30CF9B" w14:textId="49C61782" w:rsidR="00673E95" w:rsidRPr="00FB2D48" w:rsidRDefault="003E1952" w:rsidP="00F96FF5">
      <w:pPr>
        <w:pStyle w:val="ListParagraph"/>
        <w:numPr>
          <w:ilvl w:val="0"/>
          <w:numId w:val="9"/>
        </w:numPr>
        <w:ind w:left="357" w:hanging="357"/>
        <w:contextualSpacing w:val="0"/>
      </w:pPr>
      <w:r w:rsidRPr="00FB2D48">
        <w:t>Foster</w:t>
      </w:r>
      <w:r w:rsidR="006B657D" w:rsidRPr="00FB2D48">
        <w:t xml:space="preserve"> a strong, inclusive and respectful research culture </w:t>
      </w:r>
      <w:r w:rsidR="00FB2D48">
        <w:t xml:space="preserve">that </w:t>
      </w:r>
      <w:r w:rsidR="006B657D" w:rsidRPr="00FB2D48">
        <w:t>will support graduate research mental health and wellbeing</w:t>
      </w:r>
      <w:r w:rsidRPr="00FB2D48">
        <w:t>.</w:t>
      </w:r>
    </w:p>
    <w:p w14:paraId="29CAD53C" w14:textId="5A7E8F66" w:rsidR="00D63115" w:rsidRPr="00FB2D48" w:rsidRDefault="00D63115" w:rsidP="00F96FF5">
      <w:pPr>
        <w:pStyle w:val="ListParagraph"/>
        <w:numPr>
          <w:ilvl w:val="0"/>
          <w:numId w:val="9"/>
        </w:numPr>
        <w:ind w:left="357" w:hanging="357"/>
        <w:contextualSpacing w:val="0"/>
      </w:pPr>
      <w:r w:rsidRPr="00FB2D48">
        <w:t>Set</w:t>
      </w:r>
      <w:r w:rsidR="009B60C8" w:rsidRPr="00FB2D48">
        <w:t xml:space="preserve"> and</w:t>
      </w:r>
      <w:r w:rsidRPr="00FB2D48">
        <w:t xml:space="preserve"> revisit </w:t>
      </w:r>
      <w:r w:rsidR="009B60C8" w:rsidRPr="00FB2D48">
        <w:t xml:space="preserve">clear and realistic </w:t>
      </w:r>
      <w:r w:rsidRPr="00FB2D48">
        <w:t>expectations throughout candidature, including pre-enrolment.</w:t>
      </w:r>
    </w:p>
    <w:p w14:paraId="613C3590" w14:textId="4F80BA1B" w:rsidR="0042219D" w:rsidRPr="00FB2D48" w:rsidRDefault="006B19D1" w:rsidP="00F96FF5">
      <w:pPr>
        <w:pStyle w:val="ListParagraph"/>
        <w:numPr>
          <w:ilvl w:val="0"/>
          <w:numId w:val="9"/>
        </w:numPr>
        <w:ind w:left="357" w:hanging="357"/>
        <w:contextualSpacing w:val="0"/>
      </w:pPr>
      <w:r w:rsidRPr="00FB2D48">
        <w:t xml:space="preserve">Address </w:t>
      </w:r>
      <w:proofErr w:type="spellStart"/>
      <w:r w:rsidRPr="00FB2D48">
        <w:t>work</w:t>
      </w:r>
      <w:r w:rsidR="00FB2D48">
        <w:rPr>
          <w:rFonts w:ascii="Symbol" w:hAnsi="Symbol"/>
        </w:rPr>
        <w:t>-</w:t>
      </w:r>
      <w:r w:rsidRPr="00FB2D48">
        <w:t>study</w:t>
      </w:r>
      <w:proofErr w:type="spellEnd"/>
      <w:r w:rsidR="0042219D" w:rsidRPr="00FB2D48">
        <w:t xml:space="preserve"> balance, with realistic goal-setting and boundary-setting.</w:t>
      </w:r>
    </w:p>
    <w:p w14:paraId="5FA7412B" w14:textId="4C64AB72" w:rsidR="0042219D" w:rsidRPr="00FB2D48" w:rsidRDefault="0042219D" w:rsidP="00F96FF5">
      <w:pPr>
        <w:pStyle w:val="ListParagraph"/>
        <w:numPr>
          <w:ilvl w:val="0"/>
          <w:numId w:val="9"/>
        </w:numPr>
        <w:ind w:left="357" w:hanging="357"/>
        <w:contextualSpacing w:val="0"/>
      </w:pPr>
      <w:r w:rsidRPr="00FB2D48">
        <w:t xml:space="preserve">Focus on </w:t>
      </w:r>
      <w:r w:rsidR="009F6EC0" w:rsidRPr="00FB2D48">
        <w:t>prevention</w:t>
      </w:r>
      <w:r w:rsidRPr="00FB2D48">
        <w:t xml:space="preserve"> and </w:t>
      </w:r>
      <w:r w:rsidR="009F6EC0" w:rsidRPr="00FB2D48">
        <w:t>resilience</w:t>
      </w:r>
      <w:r w:rsidRPr="00FB2D48">
        <w:t xml:space="preserve"> by offering dedicated wellbeing services</w:t>
      </w:r>
      <w:r w:rsidR="004D0390" w:rsidRPr="00FB2D48">
        <w:t xml:space="preserve"> to graduate researchers</w:t>
      </w:r>
      <w:r w:rsidRPr="00FB2D48">
        <w:t>.</w:t>
      </w:r>
    </w:p>
    <w:p w14:paraId="62C69839" w14:textId="225D8EBE" w:rsidR="008C3DCE" w:rsidRPr="00FB2D48" w:rsidRDefault="0042219D" w:rsidP="00F96FF5">
      <w:pPr>
        <w:pStyle w:val="ListParagraph"/>
        <w:numPr>
          <w:ilvl w:val="0"/>
          <w:numId w:val="9"/>
        </w:numPr>
        <w:ind w:left="357" w:hanging="357"/>
        <w:contextualSpacing w:val="0"/>
      </w:pPr>
      <w:r w:rsidRPr="00FB2D48">
        <w:t>Celebrate achievement in candidatur</w:t>
      </w:r>
      <w:r w:rsidR="002A00F4" w:rsidRPr="00FB2D48">
        <w:t>e, and</w:t>
      </w:r>
      <w:r w:rsidRPr="00FB2D48">
        <w:t xml:space="preserve"> celebrate </w:t>
      </w:r>
      <w:r w:rsidR="002A00F4" w:rsidRPr="00FB2D48">
        <w:t xml:space="preserve">the </w:t>
      </w:r>
      <w:r w:rsidRPr="00FB2D48">
        <w:t>value of candidates’ research contribution, discovery and innovation.</w:t>
      </w:r>
    </w:p>
    <w:p w14:paraId="1DA4ED00" w14:textId="07080C79" w:rsidR="00673E95" w:rsidRPr="00FB2D48" w:rsidRDefault="00673E95" w:rsidP="00FB2D48">
      <w:pPr>
        <w:pStyle w:val="ACGRHeading2"/>
      </w:pPr>
      <w:r w:rsidRPr="00FB2D48">
        <w:t xml:space="preserve">Candidate </w:t>
      </w:r>
      <w:r w:rsidR="00FB2D48">
        <w:t>p</w:t>
      </w:r>
      <w:r w:rsidRPr="00FB2D48">
        <w:t xml:space="preserve">rogression </w:t>
      </w:r>
    </w:p>
    <w:p w14:paraId="7E6E50BC" w14:textId="77777777" w:rsidR="00862D84" w:rsidRPr="00FB2D48" w:rsidRDefault="00862D84" w:rsidP="00F96FF5">
      <w:pPr>
        <w:pStyle w:val="ListParagraph"/>
        <w:numPr>
          <w:ilvl w:val="0"/>
          <w:numId w:val="9"/>
        </w:numPr>
        <w:ind w:hanging="357"/>
        <w:contextualSpacing w:val="0"/>
      </w:pPr>
      <w:r w:rsidRPr="00FB2D48">
        <w:t>Provide clear, detailed and accessible information to candidates and supervisors to support candidature management, such that:</w:t>
      </w:r>
    </w:p>
    <w:p w14:paraId="5D528F38" w14:textId="2E65C492" w:rsidR="00862D84" w:rsidRPr="00FB2D48" w:rsidRDefault="00EC6238" w:rsidP="00F96FF5">
      <w:pPr>
        <w:pStyle w:val="ListParagraph"/>
        <w:numPr>
          <w:ilvl w:val="0"/>
          <w:numId w:val="17"/>
        </w:numPr>
        <w:ind w:hanging="357"/>
      </w:pPr>
      <w:r>
        <w:t>c</w:t>
      </w:r>
      <w:r w:rsidR="00A20ACC" w:rsidRPr="00FB2D48">
        <w:t xml:space="preserve">onfirmation of candidature </w:t>
      </w:r>
      <w:r w:rsidR="00862D84" w:rsidRPr="00FB2D48">
        <w:t>generates</w:t>
      </w:r>
      <w:r w:rsidR="00A20ACC" w:rsidRPr="00FB2D48">
        <w:t xml:space="preserve"> </w:t>
      </w:r>
      <w:r w:rsidR="00862D84" w:rsidRPr="00FB2D48">
        <w:t xml:space="preserve">evidence that the candidate is </w:t>
      </w:r>
      <w:r w:rsidR="00A20ACC" w:rsidRPr="00FB2D48">
        <w:t>likely to fulfil their degree requirements in the required time</w:t>
      </w:r>
    </w:p>
    <w:p w14:paraId="02D5CF8B" w14:textId="6A0B9F05" w:rsidR="00A20ACC" w:rsidRPr="00FB2D48" w:rsidRDefault="00EC6238" w:rsidP="00F96FF5">
      <w:pPr>
        <w:pStyle w:val="ListParagraph"/>
        <w:numPr>
          <w:ilvl w:val="0"/>
          <w:numId w:val="17"/>
        </w:numPr>
        <w:ind w:hanging="357"/>
      </w:pPr>
      <w:r>
        <w:t>c</w:t>
      </w:r>
      <w:r w:rsidR="00A20ACC" w:rsidRPr="00FB2D48">
        <w:t>andidate progress is reviewed at least once a year against an agreed project plan</w:t>
      </w:r>
    </w:p>
    <w:p w14:paraId="589E7307" w14:textId="5AE07634" w:rsidR="00992F38" w:rsidRPr="00FB2D48" w:rsidRDefault="00EC6238" w:rsidP="00F96FF5">
      <w:pPr>
        <w:pStyle w:val="ListParagraph"/>
        <w:numPr>
          <w:ilvl w:val="0"/>
          <w:numId w:val="17"/>
        </w:numPr>
        <w:ind w:hanging="357"/>
        <w:contextualSpacing w:val="0"/>
      </w:pPr>
      <w:r>
        <w:t>o</w:t>
      </w:r>
      <w:r w:rsidR="00A20ACC" w:rsidRPr="00FB2D48">
        <w:t>pportunities to alter candidature arrangements are available and clearly communicated to candidates</w:t>
      </w:r>
      <w:r>
        <w:t>.</w:t>
      </w:r>
    </w:p>
    <w:p w14:paraId="63402AA1" w14:textId="6A0DBB04" w:rsidR="00681F65" w:rsidRPr="00FB2D48" w:rsidRDefault="00992F38" w:rsidP="00F96FF5">
      <w:pPr>
        <w:pStyle w:val="ListParagraph"/>
        <w:numPr>
          <w:ilvl w:val="0"/>
          <w:numId w:val="9"/>
        </w:numPr>
        <w:ind w:hanging="357"/>
        <w:contextualSpacing w:val="0"/>
      </w:pPr>
      <w:r w:rsidRPr="00FB2D48">
        <w:t xml:space="preserve">Provide training </w:t>
      </w:r>
      <w:r w:rsidR="00C60A30" w:rsidRPr="00FB2D48">
        <w:t xml:space="preserve">for candidates on </w:t>
      </w:r>
      <w:r w:rsidRPr="00FB2D48">
        <w:t>the skills and attributes required to operate effectively as a researcher.</w:t>
      </w:r>
    </w:p>
    <w:p w14:paraId="2A3D1833" w14:textId="0E72E49F" w:rsidR="00673E95" w:rsidRPr="00FB2D48" w:rsidRDefault="00673E95" w:rsidP="00FB2D48">
      <w:pPr>
        <w:pStyle w:val="ACGRHeading2"/>
      </w:pPr>
      <w:r w:rsidRPr="00FB2D48">
        <w:t xml:space="preserve">Supervision </w:t>
      </w:r>
      <w:r w:rsidR="00FB2D48">
        <w:t>and</w:t>
      </w:r>
      <w:r w:rsidRPr="00FB2D48">
        <w:t xml:space="preserve"> </w:t>
      </w:r>
      <w:r w:rsidR="00FB2D48">
        <w:t>s</w:t>
      </w:r>
      <w:r w:rsidRPr="00FB2D48">
        <w:t xml:space="preserve">upervisor </w:t>
      </w:r>
      <w:r w:rsidR="00FB2D48">
        <w:t>s</w:t>
      </w:r>
      <w:r w:rsidRPr="00FB2D48">
        <w:t>uppor</w:t>
      </w:r>
      <w:r w:rsidR="00681F65" w:rsidRPr="00FB2D48">
        <w:t>t</w:t>
      </w:r>
    </w:p>
    <w:p w14:paraId="6DE04F4A" w14:textId="77777777" w:rsidR="006B657D" w:rsidRPr="00FB2D48" w:rsidRDefault="00DA0757" w:rsidP="00F96FF5">
      <w:pPr>
        <w:pStyle w:val="ListParagraph"/>
        <w:numPr>
          <w:ilvl w:val="0"/>
          <w:numId w:val="9"/>
        </w:numPr>
        <w:ind w:left="357" w:hanging="357"/>
        <w:contextualSpacing w:val="0"/>
      </w:pPr>
      <w:r w:rsidRPr="00FB2D48">
        <w:t>Recognise that candidates are highly insulated within their supervisory relationship</w:t>
      </w:r>
      <w:r w:rsidR="00481BC6" w:rsidRPr="00FB2D48">
        <w:t xml:space="preserve">—a relationship that can be a source of resilience or risk to </w:t>
      </w:r>
      <w:r w:rsidRPr="00FB2D48">
        <w:t>candidate mental health.</w:t>
      </w:r>
      <w:r w:rsidR="00EB34AA" w:rsidRPr="00FB2D48">
        <w:t xml:space="preserve"> </w:t>
      </w:r>
    </w:p>
    <w:p w14:paraId="0F251A75" w14:textId="02753066" w:rsidR="00DA0757" w:rsidRPr="00FB2D48" w:rsidRDefault="003806A6" w:rsidP="00F96FF5">
      <w:pPr>
        <w:pStyle w:val="ListParagraph"/>
        <w:numPr>
          <w:ilvl w:val="0"/>
          <w:numId w:val="9"/>
        </w:numPr>
        <w:ind w:left="357" w:hanging="357"/>
        <w:contextualSpacing w:val="0"/>
      </w:pPr>
      <w:r w:rsidRPr="00FB2D48">
        <w:t>Introduce measures to manage th</w:t>
      </w:r>
      <w:r w:rsidR="00176583" w:rsidRPr="00FB2D48">
        <w:t>ese</w:t>
      </w:r>
      <w:r w:rsidRPr="00FB2D48">
        <w:t xml:space="preserve"> risk</w:t>
      </w:r>
      <w:r w:rsidR="00176583" w:rsidRPr="00FB2D48">
        <w:t>s</w:t>
      </w:r>
      <w:r w:rsidRPr="00FB2D48">
        <w:t xml:space="preserve"> such as</w:t>
      </w:r>
      <w:r w:rsidR="00EC6238">
        <w:t>:</w:t>
      </w:r>
    </w:p>
    <w:p w14:paraId="264611C6" w14:textId="0E028207" w:rsidR="00EB34AA" w:rsidRPr="00F96FF5" w:rsidRDefault="00F96FF5" w:rsidP="00F96FF5">
      <w:pPr>
        <w:pStyle w:val="ACGRHeading2"/>
        <w:numPr>
          <w:ilvl w:val="0"/>
          <w:numId w:val="20"/>
        </w:numPr>
        <w:rPr>
          <w:rFonts w:cstheme="minorHAnsi"/>
          <w:b w:val="0"/>
          <w:bCs w:val="0"/>
          <w:sz w:val="22"/>
          <w:szCs w:val="22"/>
        </w:rPr>
      </w:pPr>
      <w:r w:rsidRPr="00F96FF5">
        <w:rPr>
          <w:rFonts w:cstheme="minorHAnsi"/>
          <w:b w:val="0"/>
          <w:bCs w:val="0"/>
          <w:sz w:val="22"/>
          <w:szCs w:val="22"/>
        </w:rPr>
        <w:t>encouraging e</w:t>
      </w:r>
      <w:r w:rsidR="00EB34AA" w:rsidRPr="00F96FF5">
        <w:rPr>
          <w:rFonts w:cstheme="minorHAnsi"/>
          <w:b w:val="0"/>
          <w:bCs w:val="0"/>
          <w:sz w:val="22"/>
          <w:szCs w:val="22"/>
        </w:rPr>
        <w:t xml:space="preserve">ffective </w:t>
      </w:r>
      <w:r w:rsidR="00FB2D48" w:rsidRPr="00F96FF5">
        <w:rPr>
          <w:rFonts w:cstheme="minorHAnsi"/>
          <w:b w:val="0"/>
          <w:bCs w:val="0"/>
          <w:sz w:val="22"/>
          <w:szCs w:val="22"/>
        </w:rPr>
        <w:t>and</w:t>
      </w:r>
      <w:r w:rsidR="00EB34AA" w:rsidRPr="00F96FF5">
        <w:rPr>
          <w:rFonts w:cstheme="minorHAnsi"/>
          <w:b w:val="0"/>
          <w:bCs w:val="0"/>
          <w:sz w:val="22"/>
          <w:szCs w:val="22"/>
        </w:rPr>
        <w:t xml:space="preserve"> respectful supervisor</w:t>
      </w:r>
      <w:r w:rsidR="00FB2D48" w:rsidRPr="00F96FF5">
        <w:rPr>
          <w:rFonts w:cstheme="minorHAnsi"/>
          <w:b w:val="0"/>
          <w:bCs w:val="0"/>
          <w:sz w:val="22"/>
          <w:szCs w:val="22"/>
        </w:rPr>
        <w:t>-</w:t>
      </w:r>
      <w:r w:rsidR="00EB34AA" w:rsidRPr="00F96FF5">
        <w:rPr>
          <w:rFonts w:cstheme="minorHAnsi"/>
          <w:b w:val="0"/>
          <w:bCs w:val="0"/>
          <w:sz w:val="22"/>
          <w:szCs w:val="22"/>
        </w:rPr>
        <w:t>candidate relationships</w:t>
      </w:r>
    </w:p>
    <w:p w14:paraId="2AE9E704" w14:textId="507BAF20" w:rsidR="00EB34AA" w:rsidRPr="00FB2D48" w:rsidRDefault="00F96FF5" w:rsidP="00F96FF5">
      <w:pPr>
        <w:pStyle w:val="ListParagraph"/>
        <w:numPr>
          <w:ilvl w:val="0"/>
          <w:numId w:val="20"/>
        </w:numPr>
      </w:pPr>
      <w:r>
        <w:t>e</w:t>
      </w:r>
      <w:r w:rsidR="00EC6238">
        <w:t>nsur</w:t>
      </w:r>
      <w:r>
        <w:t>ing</w:t>
      </w:r>
      <w:r w:rsidR="00EC6238">
        <w:t xml:space="preserve"> that </w:t>
      </w:r>
      <w:r w:rsidR="00EB34AA" w:rsidRPr="00FB2D48">
        <w:t>supervisors and candidates</w:t>
      </w:r>
      <w:r w:rsidR="00EC6238">
        <w:t xml:space="preserve"> jointly</w:t>
      </w:r>
      <w:r w:rsidR="00EC6238" w:rsidRPr="00FB2D48">
        <w:t xml:space="preserve"> record expectations and responsibilities </w:t>
      </w:r>
      <w:r w:rsidR="00EB34AA" w:rsidRPr="00FB2D48">
        <w:t>that reflect shared understanding</w:t>
      </w:r>
      <w:r w:rsidR="00EC6238">
        <w:t>,</w:t>
      </w:r>
      <w:r w:rsidR="00EB34AA" w:rsidRPr="00FB2D48">
        <w:t xml:space="preserve"> and </w:t>
      </w:r>
      <w:r w:rsidR="00EC6238">
        <w:t xml:space="preserve">that these are </w:t>
      </w:r>
      <w:r w:rsidR="00EB34AA" w:rsidRPr="00FB2D48">
        <w:t>revisited periodically</w:t>
      </w:r>
      <w:r w:rsidR="00EC6238">
        <w:t>.</w:t>
      </w:r>
      <w:r w:rsidR="00EB34AA" w:rsidRPr="00FB2D48">
        <w:t xml:space="preserve"> </w:t>
      </w:r>
    </w:p>
    <w:p w14:paraId="39A520B0" w14:textId="251AD373" w:rsidR="00EB34AA" w:rsidRPr="00FB2D48" w:rsidRDefault="00F96FF5" w:rsidP="00F96FF5">
      <w:pPr>
        <w:pStyle w:val="ListParagraph"/>
        <w:numPr>
          <w:ilvl w:val="0"/>
          <w:numId w:val="20"/>
        </w:numPr>
      </w:pPr>
      <w:r>
        <w:t>p</w:t>
      </w:r>
      <w:r w:rsidR="00EC6238">
        <w:t>rovid</w:t>
      </w:r>
      <w:r>
        <w:t>ing</w:t>
      </w:r>
      <w:r w:rsidR="00EC6238">
        <w:t xml:space="preserve"> t</w:t>
      </w:r>
      <w:r w:rsidR="00EB34AA" w:rsidRPr="00FB2D48">
        <w:t>raining and resources that engage all supervisors</w:t>
      </w:r>
      <w:r w:rsidR="002225F6" w:rsidRPr="00FB2D48">
        <w:t xml:space="preserve"> </w:t>
      </w:r>
      <w:r w:rsidR="00EC6238">
        <w:t>on</w:t>
      </w:r>
      <w:r w:rsidR="00EC6238" w:rsidRPr="00FB2D48">
        <w:t xml:space="preserve"> </w:t>
      </w:r>
      <w:r w:rsidR="002225F6" w:rsidRPr="00FB2D48">
        <w:t>the topic of mental health and productive relationships</w:t>
      </w:r>
      <w:r w:rsidR="00EB34AA" w:rsidRPr="00FB2D48">
        <w:t>.</w:t>
      </w:r>
    </w:p>
    <w:p w14:paraId="1DB7706A" w14:textId="77777777" w:rsidR="00EC6238" w:rsidRDefault="006B657D" w:rsidP="00EC6238">
      <w:pPr>
        <w:pStyle w:val="ListParagraph"/>
        <w:numPr>
          <w:ilvl w:val="0"/>
          <w:numId w:val="9"/>
        </w:numPr>
        <w:ind w:left="357" w:hanging="357"/>
        <w:contextualSpacing w:val="0"/>
      </w:pPr>
      <w:r w:rsidRPr="00FB2D48">
        <w:t xml:space="preserve">Provide </w:t>
      </w:r>
      <w:r w:rsidR="007878BA" w:rsidRPr="00FB2D48">
        <w:t xml:space="preserve">guidance </w:t>
      </w:r>
      <w:r w:rsidRPr="00FB2D48">
        <w:t xml:space="preserve">to supervisors </w:t>
      </w:r>
      <w:r w:rsidR="007878BA" w:rsidRPr="00FB2D48">
        <w:t>about</w:t>
      </w:r>
      <w:r w:rsidR="00EC6238">
        <w:t>:</w:t>
      </w:r>
    </w:p>
    <w:p w14:paraId="62737817" w14:textId="5FD83121" w:rsidR="00EC6238" w:rsidRDefault="00F20524" w:rsidP="00F96FF5">
      <w:pPr>
        <w:pStyle w:val="ListParagraph"/>
        <w:numPr>
          <w:ilvl w:val="0"/>
          <w:numId w:val="18"/>
        </w:numPr>
      </w:pPr>
      <w:r w:rsidRPr="00FB2D48">
        <w:t>facilitat</w:t>
      </w:r>
      <w:r w:rsidR="006B657D" w:rsidRPr="00FB2D48">
        <w:t>ing</w:t>
      </w:r>
      <w:r w:rsidRPr="00FB2D48">
        <w:t xml:space="preserve"> the success of </w:t>
      </w:r>
      <w:r w:rsidR="007878BA" w:rsidRPr="00FB2D48">
        <w:t>candidates</w:t>
      </w:r>
    </w:p>
    <w:p w14:paraId="6FCB40DC" w14:textId="03E1ACC3" w:rsidR="00EC6238" w:rsidRDefault="007878BA" w:rsidP="00F96FF5">
      <w:pPr>
        <w:pStyle w:val="ListParagraph"/>
        <w:numPr>
          <w:ilvl w:val="0"/>
          <w:numId w:val="18"/>
        </w:numPr>
      </w:pPr>
      <w:r w:rsidRPr="00FB2D48">
        <w:t xml:space="preserve">warning signs of stress and </w:t>
      </w:r>
      <w:r w:rsidR="000B735B" w:rsidRPr="00FB2D48">
        <w:t>mental health concerns in candidates</w:t>
      </w:r>
    </w:p>
    <w:p w14:paraId="5FA40C51" w14:textId="03AD6C4A" w:rsidR="00EC6238" w:rsidRDefault="007878BA" w:rsidP="00F96FF5">
      <w:pPr>
        <w:pStyle w:val="ListParagraph"/>
        <w:numPr>
          <w:ilvl w:val="0"/>
          <w:numId w:val="18"/>
        </w:numPr>
      </w:pPr>
      <w:r w:rsidRPr="00FB2D48">
        <w:t xml:space="preserve">how to initiate </w:t>
      </w:r>
      <w:r w:rsidR="006B657D" w:rsidRPr="00FB2D48">
        <w:t>or respond to</w:t>
      </w:r>
      <w:r w:rsidRPr="00FB2D48">
        <w:t xml:space="preserve"> conversation</w:t>
      </w:r>
      <w:r w:rsidR="006B657D" w:rsidRPr="00FB2D48">
        <w:t>s</w:t>
      </w:r>
      <w:r w:rsidRPr="00FB2D48">
        <w:t xml:space="preserve"> with a candidate at risk</w:t>
      </w:r>
    </w:p>
    <w:p w14:paraId="7BD4B810" w14:textId="7D022DAC" w:rsidR="00237BBD" w:rsidRPr="00FB2D48" w:rsidRDefault="007878BA" w:rsidP="00F96FF5">
      <w:pPr>
        <w:pStyle w:val="ListParagraph"/>
        <w:numPr>
          <w:ilvl w:val="0"/>
          <w:numId w:val="18"/>
        </w:numPr>
      </w:pPr>
      <w:r w:rsidRPr="00FB2D48">
        <w:t xml:space="preserve">practical supports available to candidates who </w:t>
      </w:r>
      <w:r w:rsidR="000B735B" w:rsidRPr="00FB2D48">
        <w:t>disclose</w:t>
      </w:r>
      <w:r w:rsidR="000E7DAE" w:rsidRPr="00FB2D48">
        <w:t xml:space="preserve"> or exhibit mental health problems</w:t>
      </w:r>
      <w:r w:rsidRPr="00FB2D48">
        <w:t>.</w:t>
      </w:r>
    </w:p>
    <w:p w14:paraId="3049FA56" w14:textId="0509B3C8" w:rsidR="00673E95" w:rsidRPr="00FB2D48" w:rsidRDefault="00673E95" w:rsidP="00FB2D48">
      <w:pPr>
        <w:pStyle w:val="ACGRHeading2"/>
      </w:pPr>
      <w:r w:rsidRPr="00FB2D48">
        <w:lastRenderedPageBreak/>
        <w:t xml:space="preserve">Communication </w:t>
      </w:r>
      <w:r w:rsidR="00FB2D48">
        <w:t>and</w:t>
      </w:r>
      <w:r w:rsidRPr="00FB2D48">
        <w:t xml:space="preserve"> </w:t>
      </w:r>
      <w:r w:rsidR="00FB2D48">
        <w:t>e</w:t>
      </w:r>
      <w:r w:rsidRPr="00FB2D48">
        <w:t>ngagement</w:t>
      </w:r>
    </w:p>
    <w:p w14:paraId="66BDA15B" w14:textId="655F35A9" w:rsidR="00A62B1B" w:rsidRPr="00FB2D48" w:rsidRDefault="00A62B1B" w:rsidP="00F96FF5">
      <w:pPr>
        <w:pStyle w:val="ListParagraph"/>
        <w:numPr>
          <w:ilvl w:val="0"/>
          <w:numId w:val="9"/>
        </w:numPr>
        <w:ind w:left="357" w:hanging="357"/>
        <w:contextualSpacing w:val="0"/>
      </w:pPr>
      <w:r w:rsidRPr="00FB2D48">
        <w:t>Connect candidates with peer, academic and professional networks.</w:t>
      </w:r>
    </w:p>
    <w:p w14:paraId="109A9367" w14:textId="19891F88" w:rsidR="00FD4600" w:rsidRPr="00FB2D48" w:rsidRDefault="00FD4600" w:rsidP="00F96FF5">
      <w:pPr>
        <w:pStyle w:val="ListParagraph"/>
        <w:numPr>
          <w:ilvl w:val="0"/>
          <w:numId w:val="9"/>
        </w:numPr>
        <w:ind w:left="357" w:hanging="357"/>
        <w:contextualSpacing w:val="0"/>
      </w:pPr>
      <w:r w:rsidRPr="00FB2D48">
        <w:t xml:space="preserve">Create social spaces for candidates that attend to </w:t>
      </w:r>
      <w:r w:rsidR="00237BBD" w:rsidRPr="00FB2D48">
        <w:t>issues of</w:t>
      </w:r>
      <w:r w:rsidRPr="00FB2D48">
        <w:t xml:space="preserve"> </w:t>
      </w:r>
      <w:r w:rsidR="00237BBD" w:rsidRPr="00FB2D48">
        <w:t xml:space="preserve">relationships, </w:t>
      </w:r>
      <w:r w:rsidR="00B6793C" w:rsidRPr="00FB2D48">
        <w:t>interconnect</w:t>
      </w:r>
      <w:r w:rsidR="00237BBD" w:rsidRPr="00FB2D48">
        <w:t>ion</w:t>
      </w:r>
      <w:r w:rsidR="00B6793C" w:rsidRPr="00FB2D48">
        <w:t xml:space="preserve">, </w:t>
      </w:r>
      <w:r w:rsidR="00237BBD" w:rsidRPr="00FB2D48">
        <w:t xml:space="preserve">and </w:t>
      </w:r>
      <w:r w:rsidR="00B6793C" w:rsidRPr="00FB2D48">
        <w:t>intersectional</w:t>
      </w:r>
      <w:r w:rsidR="00237BBD" w:rsidRPr="00FB2D48">
        <w:t>ity.</w:t>
      </w:r>
    </w:p>
    <w:p w14:paraId="28A42A1A" w14:textId="0FCBA676" w:rsidR="00B6793C" w:rsidRPr="00FB2D48" w:rsidRDefault="006B657D" w:rsidP="00F96FF5">
      <w:pPr>
        <w:pStyle w:val="ListParagraph"/>
        <w:numPr>
          <w:ilvl w:val="0"/>
          <w:numId w:val="9"/>
        </w:numPr>
        <w:ind w:left="357" w:hanging="357"/>
        <w:contextualSpacing w:val="0"/>
      </w:pPr>
      <w:r w:rsidRPr="00FB2D48">
        <w:t>Provide and c</w:t>
      </w:r>
      <w:r w:rsidR="00B6793C" w:rsidRPr="00FB2D48">
        <w:t xml:space="preserve">onnect </w:t>
      </w:r>
      <w:r w:rsidRPr="00FB2D48">
        <w:t xml:space="preserve">graduate research </w:t>
      </w:r>
      <w:r w:rsidR="00237BBD" w:rsidRPr="00FB2D48">
        <w:t>candidates</w:t>
      </w:r>
      <w:r w:rsidR="00B6793C" w:rsidRPr="00FB2D48">
        <w:t xml:space="preserve"> </w:t>
      </w:r>
      <w:r w:rsidR="00EC6238">
        <w:t>to</w:t>
      </w:r>
      <w:r w:rsidR="00EC6238" w:rsidRPr="00FB2D48">
        <w:t xml:space="preserve"> </w:t>
      </w:r>
      <w:r w:rsidR="00B6793C" w:rsidRPr="00FB2D48">
        <w:t xml:space="preserve">resources </w:t>
      </w:r>
      <w:r w:rsidRPr="00FB2D48">
        <w:t xml:space="preserve">and services that are appropriately designed </w:t>
      </w:r>
      <w:r w:rsidR="00EC6238" w:rsidRPr="00FB2D48">
        <w:t xml:space="preserve">for their needs </w:t>
      </w:r>
      <w:r w:rsidRPr="00FB2D48">
        <w:t xml:space="preserve">and readily available, including </w:t>
      </w:r>
      <w:r w:rsidR="00237BBD" w:rsidRPr="00FB2D48">
        <w:t>financial</w:t>
      </w:r>
      <w:r w:rsidR="00B6793C" w:rsidRPr="00FB2D48">
        <w:t xml:space="preserve"> support</w:t>
      </w:r>
      <w:r w:rsidR="00237BBD" w:rsidRPr="00FB2D48">
        <w:t xml:space="preserve"> and health-related services.</w:t>
      </w:r>
    </w:p>
    <w:p w14:paraId="1B1E4107" w14:textId="5965D82D" w:rsidR="00DE1B90" w:rsidRPr="00FB2D48" w:rsidRDefault="00DE1B90" w:rsidP="00FB2D48">
      <w:pPr>
        <w:pStyle w:val="ACGRHeading2"/>
      </w:pPr>
      <w:r w:rsidRPr="00FB2D48">
        <w:t xml:space="preserve">Identity </w:t>
      </w:r>
      <w:r w:rsidR="00EC6238">
        <w:t>and</w:t>
      </w:r>
      <w:r w:rsidR="002B2974" w:rsidRPr="00FB2D48">
        <w:t xml:space="preserve"> </w:t>
      </w:r>
      <w:r w:rsidR="00EC6238">
        <w:t>i</w:t>
      </w:r>
      <w:r w:rsidR="002B2974" w:rsidRPr="00FB2D48">
        <w:t>dentit</w:t>
      </w:r>
      <w:r w:rsidR="00F93825" w:rsidRPr="00FB2D48">
        <w:t xml:space="preserve">y </w:t>
      </w:r>
      <w:r w:rsidR="00EC6238">
        <w:t>d</w:t>
      </w:r>
      <w:r w:rsidR="00F93825" w:rsidRPr="00FB2D48">
        <w:t>evelopment</w:t>
      </w:r>
    </w:p>
    <w:p w14:paraId="035ACF6B" w14:textId="33232205" w:rsidR="00DE1B90" w:rsidRPr="00FB2D48" w:rsidRDefault="00102179" w:rsidP="00F96FF5">
      <w:pPr>
        <w:pStyle w:val="ListParagraph"/>
        <w:numPr>
          <w:ilvl w:val="0"/>
          <w:numId w:val="9"/>
        </w:numPr>
        <w:ind w:left="357" w:hanging="357"/>
        <w:contextualSpacing w:val="0"/>
      </w:pPr>
      <w:r w:rsidRPr="00FB2D48">
        <w:t>Recognise</w:t>
      </w:r>
      <w:r w:rsidR="004F79E9" w:rsidRPr="00FB2D48">
        <w:t>,</w:t>
      </w:r>
      <w:r w:rsidR="00B92120" w:rsidRPr="00FB2D48">
        <w:t xml:space="preserve"> </w:t>
      </w:r>
      <w:r w:rsidRPr="00FB2D48">
        <w:t>reinforce</w:t>
      </w:r>
      <w:r w:rsidR="004F79E9" w:rsidRPr="00FB2D48">
        <w:t xml:space="preserve"> </w:t>
      </w:r>
      <w:r w:rsidR="00862695" w:rsidRPr="00FB2D48">
        <w:t xml:space="preserve">and </w:t>
      </w:r>
      <w:r w:rsidR="004F79E9" w:rsidRPr="00FB2D48">
        <w:t>accommodate</w:t>
      </w:r>
      <w:r w:rsidR="00862695" w:rsidRPr="00FB2D48">
        <w:t xml:space="preserve"> </w:t>
      </w:r>
      <w:r w:rsidRPr="00FB2D48">
        <w:t xml:space="preserve">the </w:t>
      </w:r>
      <w:r w:rsidR="002A00F4" w:rsidRPr="00FB2D48">
        <w:t xml:space="preserve">multiple </w:t>
      </w:r>
      <w:r w:rsidRPr="00FB2D48">
        <w:t xml:space="preserve">identities </w:t>
      </w:r>
      <w:r w:rsidR="00B92120" w:rsidRPr="00FB2D48">
        <w:t xml:space="preserve">of research </w:t>
      </w:r>
      <w:r w:rsidR="00FD4600" w:rsidRPr="00FB2D48">
        <w:t xml:space="preserve">candidates, </w:t>
      </w:r>
      <w:r w:rsidR="00D31DBD" w:rsidRPr="00FB2D48">
        <w:t>such as</w:t>
      </w:r>
      <w:r w:rsidR="00FD4600" w:rsidRPr="00FB2D48">
        <w:t xml:space="preserve"> researcher, writer, employee, </w:t>
      </w:r>
      <w:r w:rsidR="00B6793C" w:rsidRPr="00FB2D48">
        <w:t xml:space="preserve">teacher, </w:t>
      </w:r>
      <w:r w:rsidR="00FD4600" w:rsidRPr="00FB2D48">
        <w:t xml:space="preserve">industry leader, carer, </w:t>
      </w:r>
      <w:r w:rsidR="005304DD" w:rsidRPr="00FB2D48">
        <w:t xml:space="preserve">and </w:t>
      </w:r>
      <w:r w:rsidR="00B6793C" w:rsidRPr="00FB2D48">
        <w:t xml:space="preserve">project </w:t>
      </w:r>
      <w:r w:rsidR="00FD4600" w:rsidRPr="00FB2D48">
        <w:t>manager.</w:t>
      </w:r>
    </w:p>
    <w:p w14:paraId="0DBFDE4F" w14:textId="65DCF454" w:rsidR="00FD4600" w:rsidRPr="00FB2D48" w:rsidRDefault="00FD4600" w:rsidP="00F96FF5">
      <w:pPr>
        <w:pStyle w:val="ListParagraph"/>
        <w:numPr>
          <w:ilvl w:val="0"/>
          <w:numId w:val="9"/>
        </w:numPr>
        <w:ind w:left="357" w:hanging="357"/>
        <w:contextualSpacing w:val="0"/>
      </w:pPr>
      <w:r w:rsidRPr="00FB2D48">
        <w:t>Provide candidates with professional learning opportunities to develop their identities from the beginning of candidature.</w:t>
      </w:r>
      <w:r w:rsidR="00C701D8" w:rsidRPr="00FB2D48">
        <w:t xml:space="preserve"> </w:t>
      </w:r>
      <w:r w:rsidR="007571E6" w:rsidRPr="00FB2D48">
        <w:t>These opportunities</w:t>
      </w:r>
      <w:r w:rsidR="002542D5">
        <w:t xml:space="preserve"> could </w:t>
      </w:r>
      <w:r w:rsidR="002542D5" w:rsidRPr="00FB2D48">
        <w:t>involve supervisors in promoting candidates’ identity development</w:t>
      </w:r>
      <w:r w:rsidR="002542D5">
        <w:t xml:space="preserve">, and </w:t>
      </w:r>
      <w:r w:rsidR="00C701D8" w:rsidRPr="00FB2D48">
        <w:t>could include</w:t>
      </w:r>
      <w:r w:rsidR="00EC6238" w:rsidRPr="00EC6238">
        <w:t xml:space="preserve"> </w:t>
      </w:r>
      <w:r w:rsidR="00EC6238">
        <w:t>e</w:t>
      </w:r>
      <w:r w:rsidR="00EC6238" w:rsidRPr="00FB2D48">
        <w:t>xploration of how</w:t>
      </w:r>
      <w:r w:rsidR="00EC6238">
        <w:t xml:space="preserve"> candidates</w:t>
      </w:r>
      <w:r w:rsidR="00C701D8" w:rsidRPr="00FB2D48">
        <w:t>:</w:t>
      </w:r>
    </w:p>
    <w:p w14:paraId="3E0B0EC7" w14:textId="43000FB5" w:rsidR="00C701D8" w:rsidRPr="00FB2D48" w:rsidRDefault="00C701D8" w:rsidP="00F96FF5">
      <w:pPr>
        <w:pStyle w:val="ListParagraph"/>
        <w:numPr>
          <w:ilvl w:val="0"/>
          <w:numId w:val="19"/>
        </w:numPr>
      </w:pPr>
      <w:r w:rsidRPr="00FB2D48">
        <w:t>contribute to the university’s research profile</w:t>
      </w:r>
    </w:p>
    <w:p w14:paraId="601C4F49" w14:textId="6E62151D" w:rsidR="00C701D8" w:rsidRPr="00FB2D48" w:rsidRDefault="003870AD" w:rsidP="00F96FF5">
      <w:pPr>
        <w:pStyle w:val="ListParagraph"/>
        <w:numPr>
          <w:ilvl w:val="0"/>
          <w:numId w:val="19"/>
        </w:numPr>
      </w:pPr>
      <w:r w:rsidRPr="00FB2D48">
        <w:t xml:space="preserve">define and perceive </w:t>
      </w:r>
      <w:r w:rsidR="00C701D8" w:rsidRPr="00FB2D48">
        <w:t xml:space="preserve">themselves at various stages of their degree </w:t>
      </w:r>
    </w:p>
    <w:p w14:paraId="54B1F09A" w14:textId="2BFAC0CC" w:rsidR="00DE1B90" w:rsidRPr="00FB2D48" w:rsidRDefault="003870AD" w:rsidP="00F96FF5">
      <w:pPr>
        <w:pStyle w:val="ListParagraph"/>
        <w:numPr>
          <w:ilvl w:val="0"/>
          <w:numId w:val="19"/>
        </w:numPr>
      </w:pPr>
      <w:r w:rsidRPr="00FB2D48">
        <w:t xml:space="preserve">define and perceive </w:t>
      </w:r>
      <w:r w:rsidR="00C701D8" w:rsidRPr="00FB2D48">
        <w:t>themselves as researchers</w:t>
      </w:r>
      <w:r w:rsidR="008307CC" w:rsidRPr="00FB2D48">
        <w:t xml:space="preserve"> and</w:t>
      </w:r>
      <w:r w:rsidR="00C701D8" w:rsidRPr="00FB2D48">
        <w:t xml:space="preserve"> employable graduates</w:t>
      </w:r>
      <w:r w:rsidR="002542D5">
        <w:t>.</w:t>
      </w:r>
    </w:p>
    <w:p w14:paraId="2BA99D29" w14:textId="71501899" w:rsidR="00673E95" w:rsidRPr="00FB2D48" w:rsidRDefault="00673E95" w:rsidP="00FB2D48">
      <w:pPr>
        <w:pStyle w:val="ACGRHeading2"/>
      </w:pPr>
      <w:r w:rsidRPr="00FB2D48">
        <w:t xml:space="preserve">Career </w:t>
      </w:r>
      <w:r w:rsidR="00EC6238">
        <w:t>d</w:t>
      </w:r>
      <w:r w:rsidRPr="00FB2D48">
        <w:t xml:space="preserve">evelopment </w:t>
      </w:r>
      <w:r w:rsidR="00EC6238">
        <w:t>and</w:t>
      </w:r>
      <w:r w:rsidRPr="00FB2D48">
        <w:t xml:space="preserve"> </w:t>
      </w:r>
      <w:r w:rsidR="00EC6238">
        <w:t>p</w:t>
      </w:r>
      <w:r w:rsidRPr="00FB2D48">
        <w:t>reparedness</w:t>
      </w:r>
    </w:p>
    <w:p w14:paraId="2A6DE6AE" w14:textId="23849EFD" w:rsidR="00A857A4" w:rsidRPr="00FB2D48" w:rsidRDefault="00BD771F" w:rsidP="00F96FF5">
      <w:pPr>
        <w:pStyle w:val="ListParagraph"/>
        <w:numPr>
          <w:ilvl w:val="0"/>
          <w:numId w:val="9"/>
        </w:numPr>
        <w:ind w:hanging="357"/>
        <w:contextualSpacing w:val="0"/>
      </w:pPr>
      <w:r w:rsidRPr="00FB2D48">
        <w:t>Advise</w:t>
      </w:r>
      <w:r w:rsidR="00A857A4" w:rsidRPr="00FB2D48">
        <w:t xml:space="preserve"> applicants and </w:t>
      </w:r>
      <w:r w:rsidR="00533EA0" w:rsidRPr="00FB2D48">
        <w:t>candidates</w:t>
      </w:r>
      <w:r w:rsidR="00A857A4" w:rsidRPr="00FB2D48">
        <w:t xml:space="preserve"> about</w:t>
      </w:r>
      <w:r w:rsidR="00533EA0" w:rsidRPr="00FB2D48">
        <w:t xml:space="preserve"> </w:t>
      </w:r>
      <w:r w:rsidR="00F93825" w:rsidRPr="00FB2D48">
        <w:t>likely</w:t>
      </w:r>
      <w:r w:rsidR="00533EA0" w:rsidRPr="00FB2D48">
        <w:t xml:space="preserve"> academic and non-academic career</w:t>
      </w:r>
      <w:r w:rsidR="00F93825" w:rsidRPr="00FB2D48">
        <w:t xml:space="preserve"> </w:t>
      </w:r>
      <w:r w:rsidRPr="00FB2D48">
        <w:t>paths</w:t>
      </w:r>
      <w:r w:rsidR="00533EA0" w:rsidRPr="00FB2D48">
        <w:t>.</w:t>
      </w:r>
    </w:p>
    <w:p w14:paraId="010694B2" w14:textId="59A092CD" w:rsidR="0009659D" w:rsidRPr="00FB2D48" w:rsidRDefault="0009659D" w:rsidP="00F96FF5">
      <w:pPr>
        <w:pStyle w:val="ListParagraph"/>
        <w:numPr>
          <w:ilvl w:val="0"/>
          <w:numId w:val="9"/>
        </w:numPr>
        <w:ind w:hanging="357"/>
        <w:contextualSpacing w:val="0"/>
      </w:pPr>
      <w:r w:rsidRPr="00FB2D48">
        <w:t xml:space="preserve">Customise </w:t>
      </w:r>
      <w:r w:rsidR="00F11B35" w:rsidRPr="00FB2D48">
        <w:t xml:space="preserve">the development of </w:t>
      </w:r>
      <w:r w:rsidR="00F93825" w:rsidRPr="00FB2D48">
        <w:t xml:space="preserve">career </w:t>
      </w:r>
      <w:r w:rsidR="00F124C4" w:rsidRPr="00FB2D48">
        <w:t>capabilit</w:t>
      </w:r>
      <w:r w:rsidR="00F11B35" w:rsidRPr="00FB2D48">
        <w:t>ies</w:t>
      </w:r>
      <w:r w:rsidR="00F93825" w:rsidRPr="00FB2D48">
        <w:t xml:space="preserve"> to </w:t>
      </w:r>
      <w:r w:rsidR="00F11B35" w:rsidRPr="00FB2D48">
        <w:t>accommodate</w:t>
      </w:r>
      <w:r w:rsidR="00F93825" w:rsidRPr="00FB2D48">
        <w:t xml:space="preserve"> </w:t>
      </w:r>
      <w:r w:rsidR="00F124C4" w:rsidRPr="00FB2D48">
        <w:t xml:space="preserve">the </w:t>
      </w:r>
      <w:r w:rsidR="00F11B35" w:rsidRPr="00FB2D48">
        <w:t xml:space="preserve">diverse </w:t>
      </w:r>
      <w:r w:rsidR="00F124C4" w:rsidRPr="00FB2D48">
        <w:t>needs of candidates.</w:t>
      </w:r>
    </w:p>
    <w:p w14:paraId="55376D1D" w14:textId="4C65D42F" w:rsidR="00A857A4" w:rsidRPr="00FB2D48" w:rsidRDefault="004844C5" w:rsidP="00F96FF5">
      <w:pPr>
        <w:pStyle w:val="ListParagraph"/>
        <w:numPr>
          <w:ilvl w:val="0"/>
          <w:numId w:val="9"/>
        </w:numPr>
        <w:ind w:hanging="357"/>
        <w:contextualSpacing w:val="0"/>
      </w:pPr>
      <w:r w:rsidRPr="00FB2D48">
        <w:t>Work with</w:t>
      </w:r>
      <w:r w:rsidR="00A857A4" w:rsidRPr="00FB2D48">
        <w:t xml:space="preserve"> </w:t>
      </w:r>
      <w:r w:rsidR="002542D5">
        <w:t>c</w:t>
      </w:r>
      <w:r w:rsidR="00A857A4" w:rsidRPr="00FB2D48">
        <w:t xml:space="preserve">areers </w:t>
      </w:r>
      <w:r w:rsidR="002542D5">
        <w:t>u</w:t>
      </w:r>
      <w:r w:rsidR="00A857A4" w:rsidRPr="00FB2D48">
        <w:t xml:space="preserve">nits to develop </w:t>
      </w:r>
      <w:r w:rsidRPr="00FB2D48">
        <w:t>resources and</w:t>
      </w:r>
      <w:r w:rsidR="002B5218" w:rsidRPr="00FB2D48">
        <w:t xml:space="preserve"> </w:t>
      </w:r>
      <w:r w:rsidR="00A857A4" w:rsidRPr="00FB2D48">
        <w:t>activities</w:t>
      </w:r>
      <w:r w:rsidRPr="00FB2D48">
        <w:t xml:space="preserve"> that are </w:t>
      </w:r>
      <w:r w:rsidR="002B5218" w:rsidRPr="00FB2D48">
        <w:t>tailored to research candidates</w:t>
      </w:r>
      <w:r w:rsidR="00533EA0" w:rsidRPr="00FB2D48">
        <w:t>.</w:t>
      </w:r>
    </w:p>
    <w:p w14:paraId="35DD3265" w14:textId="08C94850" w:rsidR="00A857A4" w:rsidRPr="00FB2D48" w:rsidRDefault="00A857A4" w:rsidP="00F96FF5">
      <w:pPr>
        <w:pStyle w:val="ListParagraph"/>
        <w:numPr>
          <w:ilvl w:val="0"/>
          <w:numId w:val="9"/>
        </w:numPr>
        <w:ind w:hanging="357"/>
        <w:contextualSpacing w:val="0"/>
      </w:pPr>
      <w:r w:rsidRPr="00FB2D48">
        <w:t xml:space="preserve">Provide scaffolded development opportunities to align with researcher identity and </w:t>
      </w:r>
      <w:r w:rsidR="0009659D" w:rsidRPr="00FB2D48">
        <w:t>career interest</w:t>
      </w:r>
      <w:r w:rsidRPr="00FB2D48">
        <w:t>, and consider</w:t>
      </w:r>
      <w:r w:rsidR="0009659D" w:rsidRPr="00FB2D48">
        <w:t>:</w:t>
      </w:r>
      <w:r w:rsidRPr="00FB2D48">
        <w:t xml:space="preserve"> </w:t>
      </w:r>
    </w:p>
    <w:p w14:paraId="24C6D36B" w14:textId="0F29202D" w:rsidR="00A857A4" w:rsidRPr="00FB2D48" w:rsidRDefault="00A857A4" w:rsidP="00F96FF5">
      <w:pPr>
        <w:pStyle w:val="ListParagraph"/>
        <w:numPr>
          <w:ilvl w:val="0"/>
          <w:numId w:val="16"/>
        </w:numPr>
        <w:ind w:hanging="357"/>
      </w:pPr>
      <w:r w:rsidRPr="00FB2D48">
        <w:t>digital literacy and skill development</w:t>
      </w:r>
    </w:p>
    <w:p w14:paraId="7AA98523" w14:textId="5F5D81EE" w:rsidR="00A857A4" w:rsidRPr="00FB2D48" w:rsidRDefault="00A857A4" w:rsidP="00F96FF5">
      <w:pPr>
        <w:pStyle w:val="ListParagraph"/>
        <w:numPr>
          <w:ilvl w:val="0"/>
          <w:numId w:val="16"/>
        </w:numPr>
        <w:ind w:hanging="357"/>
      </w:pPr>
      <w:r w:rsidRPr="00FB2D48">
        <w:t>engagement with alumni</w:t>
      </w:r>
    </w:p>
    <w:p w14:paraId="546584AD" w14:textId="2FFC6737" w:rsidR="00A857A4" w:rsidRPr="00FB2D48" w:rsidRDefault="00A857A4" w:rsidP="00F96FF5">
      <w:pPr>
        <w:pStyle w:val="ListParagraph"/>
        <w:numPr>
          <w:ilvl w:val="0"/>
          <w:numId w:val="16"/>
        </w:numPr>
        <w:ind w:hanging="357"/>
      </w:pPr>
      <w:r w:rsidRPr="00FB2D48">
        <w:t xml:space="preserve">mentoring and networking opportunities </w:t>
      </w:r>
      <w:r w:rsidR="0009659D" w:rsidRPr="00FB2D48">
        <w:t>beyond academia</w:t>
      </w:r>
    </w:p>
    <w:p w14:paraId="42166D3C" w14:textId="6F6282A6" w:rsidR="00A857A4" w:rsidRPr="00FB2D48" w:rsidRDefault="00F124C4" w:rsidP="00F96FF5">
      <w:pPr>
        <w:pStyle w:val="ListParagraph"/>
        <w:numPr>
          <w:ilvl w:val="0"/>
          <w:numId w:val="16"/>
        </w:numPr>
        <w:ind w:hanging="357"/>
        <w:contextualSpacing w:val="0"/>
      </w:pPr>
      <w:r w:rsidRPr="00FB2D48">
        <w:t>experiential learning and internships</w:t>
      </w:r>
      <w:r w:rsidR="002542D5">
        <w:t>.</w:t>
      </w:r>
    </w:p>
    <w:sectPr w:rsidR="00A857A4" w:rsidRPr="00FB2D48" w:rsidSect="000B50CF">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6EC56" w14:textId="77777777" w:rsidR="000D7711" w:rsidRDefault="000D7711" w:rsidP="00673E95">
      <w:pPr>
        <w:spacing w:after="0" w:line="240" w:lineRule="auto"/>
      </w:pPr>
      <w:r>
        <w:separator/>
      </w:r>
    </w:p>
  </w:endnote>
  <w:endnote w:type="continuationSeparator" w:id="0">
    <w:p w14:paraId="294F19D3" w14:textId="77777777" w:rsidR="000D7711" w:rsidRDefault="000D7711" w:rsidP="0067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536163"/>
      <w:docPartObj>
        <w:docPartGallery w:val="Page Numbers (Bottom of Page)"/>
        <w:docPartUnique/>
      </w:docPartObj>
    </w:sdtPr>
    <w:sdtEndPr>
      <w:rPr>
        <w:noProof/>
      </w:rPr>
    </w:sdtEndPr>
    <w:sdtContent>
      <w:p w14:paraId="6016CF9C" w14:textId="13D1930C" w:rsidR="00673E95" w:rsidRDefault="00673E95">
        <w:pPr>
          <w:pStyle w:val="Footer"/>
          <w:jc w:val="right"/>
        </w:pPr>
        <w:r>
          <w:fldChar w:fldCharType="begin"/>
        </w:r>
        <w:r>
          <w:instrText xml:space="preserve"> PAGE   \* MERGEFORMAT </w:instrText>
        </w:r>
        <w:r>
          <w:fldChar w:fldCharType="separate"/>
        </w:r>
        <w:r w:rsidR="006B657D">
          <w:rPr>
            <w:noProof/>
          </w:rPr>
          <w:t>3</w:t>
        </w:r>
        <w:r>
          <w:rPr>
            <w:noProof/>
          </w:rPr>
          <w:fldChar w:fldCharType="end"/>
        </w:r>
      </w:p>
    </w:sdtContent>
  </w:sdt>
  <w:p w14:paraId="47573316" w14:textId="77777777" w:rsidR="00673E95" w:rsidRDefault="00673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52A38" w14:textId="77777777" w:rsidR="000D7711" w:rsidRDefault="000D7711" w:rsidP="00673E95">
      <w:pPr>
        <w:spacing w:after="0" w:line="240" w:lineRule="auto"/>
      </w:pPr>
      <w:r>
        <w:separator/>
      </w:r>
    </w:p>
  </w:footnote>
  <w:footnote w:type="continuationSeparator" w:id="0">
    <w:p w14:paraId="41500AC9" w14:textId="77777777" w:rsidR="000D7711" w:rsidRDefault="000D7711" w:rsidP="00673E95">
      <w:pPr>
        <w:spacing w:after="0" w:line="240" w:lineRule="auto"/>
      </w:pPr>
      <w:r>
        <w:continuationSeparator/>
      </w:r>
    </w:p>
  </w:footnote>
  <w:footnote w:id="1">
    <w:p w14:paraId="4C67A41D" w14:textId="03E62536" w:rsidR="002542D5" w:rsidRDefault="002542D5">
      <w:pPr>
        <w:pStyle w:val="FootnoteText"/>
      </w:pPr>
      <w:r>
        <w:rPr>
          <w:rStyle w:val="FootnoteReference"/>
        </w:rPr>
        <w:footnoteRef/>
      </w:r>
      <w:r>
        <w:t xml:space="preserve"> </w:t>
      </w:r>
      <w:hyperlink r:id="rId1" w:history="1">
        <w:r w:rsidRPr="00F31A37">
          <w:rPr>
            <w:rStyle w:val="Hyperlink"/>
          </w:rPr>
          <w:t>WHO Fact Sheet April 2018 Mental Health: strengthening our response</w:t>
        </w:r>
        <w:r>
          <w:rPr>
            <w:rStyle w:val="Hyperlink"/>
          </w:rPr>
          <w:t>.</w:t>
        </w:r>
        <w:r w:rsidRPr="00F31A37">
          <w:rPr>
            <w:rStyle w:val="Hyperlink"/>
          </w:rPr>
          <w:t xml:space="preserve"> </w:t>
        </w:r>
      </w:hyperlink>
    </w:p>
  </w:footnote>
  <w:footnote w:id="2">
    <w:p w14:paraId="4CE14D0B" w14:textId="6F185338" w:rsidR="004356BB" w:rsidRDefault="004356BB">
      <w:pPr>
        <w:pStyle w:val="FootnoteText"/>
      </w:pPr>
      <w:r>
        <w:rPr>
          <w:rStyle w:val="FootnoteReference"/>
        </w:rPr>
        <w:footnoteRef/>
      </w:r>
      <w:r>
        <w:t xml:space="preserve"> </w:t>
      </w:r>
      <w:hyperlink r:id="rId2" w:history="1">
        <w:r w:rsidRPr="004356BB">
          <w:rPr>
            <w:rStyle w:val="Hyperlink"/>
          </w:rPr>
          <w:t>Australian Graduate Research Good Practice Principles and Guidelines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C3788"/>
    <w:multiLevelType w:val="hybridMultilevel"/>
    <w:tmpl w:val="1C5EB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9AB1FC4"/>
    <w:multiLevelType w:val="hybridMultilevel"/>
    <w:tmpl w:val="9DB00FE8"/>
    <w:lvl w:ilvl="0" w:tplc="BD4E0AFE">
      <w:start w:val="1"/>
      <w:numFmt w:val="bullet"/>
      <w:lvlText w:val="•"/>
      <w:lvlJc w:val="left"/>
      <w:pPr>
        <w:tabs>
          <w:tab w:val="num" w:pos="720"/>
        </w:tabs>
        <w:ind w:left="720" w:hanging="360"/>
      </w:pPr>
      <w:rPr>
        <w:rFonts w:ascii="Arial" w:hAnsi="Arial" w:hint="default"/>
      </w:rPr>
    </w:lvl>
    <w:lvl w:ilvl="1" w:tplc="23EEC9FA" w:tentative="1">
      <w:start w:val="1"/>
      <w:numFmt w:val="bullet"/>
      <w:lvlText w:val="•"/>
      <w:lvlJc w:val="left"/>
      <w:pPr>
        <w:tabs>
          <w:tab w:val="num" w:pos="1440"/>
        </w:tabs>
        <w:ind w:left="1440" w:hanging="360"/>
      </w:pPr>
      <w:rPr>
        <w:rFonts w:ascii="Arial" w:hAnsi="Arial" w:hint="default"/>
      </w:rPr>
    </w:lvl>
    <w:lvl w:ilvl="2" w:tplc="F2786D3E" w:tentative="1">
      <w:start w:val="1"/>
      <w:numFmt w:val="bullet"/>
      <w:lvlText w:val="•"/>
      <w:lvlJc w:val="left"/>
      <w:pPr>
        <w:tabs>
          <w:tab w:val="num" w:pos="2160"/>
        </w:tabs>
        <w:ind w:left="2160" w:hanging="360"/>
      </w:pPr>
      <w:rPr>
        <w:rFonts w:ascii="Arial" w:hAnsi="Arial" w:hint="default"/>
      </w:rPr>
    </w:lvl>
    <w:lvl w:ilvl="3" w:tplc="64D0DAAE" w:tentative="1">
      <w:start w:val="1"/>
      <w:numFmt w:val="bullet"/>
      <w:lvlText w:val="•"/>
      <w:lvlJc w:val="left"/>
      <w:pPr>
        <w:tabs>
          <w:tab w:val="num" w:pos="2880"/>
        </w:tabs>
        <w:ind w:left="2880" w:hanging="360"/>
      </w:pPr>
      <w:rPr>
        <w:rFonts w:ascii="Arial" w:hAnsi="Arial" w:hint="default"/>
      </w:rPr>
    </w:lvl>
    <w:lvl w:ilvl="4" w:tplc="057E04C6" w:tentative="1">
      <w:start w:val="1"/>
      <w:numFmt w:val="bullet"/>
      <w:lvlText w:val="•"/>
      <w:lvlJc w:val="left"/>
      <w:pPr>
        <w:tabs>
          <w:tab w:val="num" w:pos="3600"/>
        </w:tabs>
        <w:ind w:left="3600" w:hanging="360"/>
      </w:pPr>
      <w:rPr>
        <w:rFonts w:ascii="Arial" w:hAnsi="Arial" w:hint="default"/>
      </w:rPr>
    </w:lvl>
    <w:lvl w:ilvl="5" w:tplc="5A5AC3A4" w:tentative="1">
      <w:start w:val="1"/>
      <w:numFmt w:val="bullet"/>
      <w:lvlText w:val="•"/>
      <w:lvlJc w:val="left"/>
      <w:pPr>
        <w:tabs>
          <w:tab w:val="num" w:pos="4320"/>
        </w:tabs>
        <w:ind w:left="4320" w:hanging="360"/>
      </w:pPr>
      <w:rPr>
        <w:rFonts w:ascii="Arial" w:hAnsi="Arial" w:hint="default"/>
      </w:rPr>
    </w:lvl>
    <w:lvl w:ilvl="6" w:tplc="EAFC85FE" w:tentative="1">
      <w:start w:val="1"/>
      <w:numFmt w:val="bullet"/>
      <w:lvlText w:val="•"/>
      <w:lvlJc w:val="left"/>
      <w:pPr>
        <w:tabs>
          <w:tab w:val="num" w:pos="5040"/>
        </w:tabs>
        <w:ind w:left="5040" w:hanging="360"/>
      </w:pPr>
      <w:rPr>
        <w:rFonts w:ascii="Arial" w:hAnsi="Arial" w:hint="default"/>
      </w:rPr>
    </w:lvl>
    <w:lvl w:ilvl="7" w:tplc="E8A2108C" w:tentative="1">
      <w:start w:val="1"/>
      <w:numFmt w:val="bullet"/>
      <w:lvlText w:val="•"/>
      <w:lvlJc w:val="left"/>
      <w:pPr>
        <w:tabs>
          <w:tab w:val="num" w:pos="5760"/>
        </w:tabs>
        <w:ind w:left="5760" w:hanging="360"/>
      </w:pPr>
      <w:rPr>
        <w:rFonts w:ascii="Arial" w:hAnsi="Arial" w:hint="default"/>
      </w:rPr>
    </w:lvl>
    <w:lvl w:ilvl="8" w:tplc="4104BE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2D24D2"/>
    <w:multiLevelType w:val="hybridMultilevel"/>
    <w:tmpl w:val="8676C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5D532AA"/>
    <w:multiLevelType w:val="hybridMultilevel"/>
    <w:tmpl w:val="CC927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A26A7"/>
    <w:multiLevelType w:val="hybridMultilevel"/>
    <w:tmpl w:val="6630DE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81411C"/>
    <w:multiLevelType w:val="hybridMultilevel"/>
    <w:tmpl w:val="2F44AB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6E737F2"/>
    <w:multiLevelType w:val="hybridMultilevel"/>
    <w:tmpl w:val="D79294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BEC3E19"/>
    <w:multiLevelType w:val="hybridMultilevel"/>
    <w:tmpl w:val="2EA01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F60751"/>
    <w:multiLevelType w:val="hybridMultilevel"/>
    <w:tmpl w:val="B7E2D8A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1609CE"/>
    <w:multiLevelType w:val="hybridMultilevel"/>
    <w:tmpl w:val="F6B061B8"/>
    <w:lvl w:ilvl="0" w:tplc="D39C880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5142859"/>
    <w:multiLevelType w:val="hybridMultilevel"/>
    <w:tmpl w:val="2EEC65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DE14B79"/>
    <w:multiLevelType w:val="hybridMultilevel"/>
    <w:tmpl w:val="6E8A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90F9F"/>
    <w:multiLevelType w:val="hybridMultilevel"/>
    <w:tmpl w:val="0AD01ABA"/>
    <w:lvl w:ilvl="0" w:tplc="0C09000F">
      <w:start w:val="1"/>
      <w:numFmt w:val="decimal"/>
      <w:lvlText w:val="%1."/>
      <w:lvlJc w:val="left"/>
      <w:pPr>
        <w:tabs>
          <w:tab w:val="num" w:pos="720"/>
        </w:tabs>
        <w:ind w:left="720" w:hanging="360"/>
      </w:pPr>
    </w:lvl>
    <w:lvl w:ilvl="1" w:tplc="FCC0F5F0">
      <w:start w:val="1"/>
      <w:numFmt w:val="bullet"/>
      <w:lvlText w:val="•"/>
      <w:lvlJc w:val="left"/>
      <w:pPr>
        <w:tabs>
          <w:tab w:val="num" w:pos="1440"/>
        </w:tabs>
        <w:ind w:left="1440" w:hanging="360"/>
      </w:pPr>
      <w:rPr>
        <w:rFonts w:ascii="Times New Roman" w:hAnsi="Times New Roman" w:cs="Times New Roman" w:hint="default"/>
      </w:rPr>
    </w:lvl>
    <w:lvl w:ilvl="2" w:tplc="79287A82">
      <w:start w:val="1"/>
      <w:numFmt w:val="bullet"/>
      <w:lvlText w:val="•"/>
      <w:lvlJc w:val="left"/>
      <w:pPr>
        <w:tabs>
          <w:tab w:val="num" w:pos="2160"/>
        </w:tabs>
        <w:ind w:left="2160" w:hanging="360"/>
      </w:pPr>
      <w:rPr>
        <w:rFonts w:ascii="Times New Roman" w:hAnsi="Times New Roman" w:cs="Times New Roman" w:hint="default"/>
      </w:rPr>
    </w:lvl>
    <w:lvl w:ilvl="3" w:tplc="2FE00910">
      <w:start w:val="1"/>
      <w:numFmt w:val="bullet"/>
      <w:lvlText w:val="•"/>
      <w:lvlJc w:val="left"/>
      <w:pPr>
        <w:tabs>
          <w:tab w:val="num" w:pos="2880"/>
        </w:tabs>
        <w:ind w:left="2880" w:hanging="360"/>
      </w:pPr>
      <w:rPr>
        <w:rFonts w:ascii="Times New Roman" w:hAnsi="Times New Roman" w:cs="Times New Roman" w:hint="default"/>
      </w:rPr>
    </w:lvl>
    <w:lvl w:ilvl="4" w:tplc="E5DCDCF2">
      <w:start w:val="1"/>
      <w:numFmt w:val="bullet"/>
      <w:lvlText w:val="•"/>
      <w:lvlJc w:val="left"/>
      <w:pPr>
        <w:tabs>
          <w:tab w:val="num" w:pos="3600"/>
        </w:tabs>
        <w:ind w:left="3600" w:hanging="360"/>
      </w:pPr>
      <w:rPr>
        <w:rFonts w:ascii="Times New Roman" w:hAnsi="Times New Roman" w:cs="Times New Roman" w:hint="default"/>
      </w:rPr>
    </w:lvl>
    <w:lvl w:ilvl="5" w:tplc="BA68B3F8">
      <w:start w:val="1"/>
      <w:numFmt w:val="bullet"/>
      <w:lvlText w:val="•"/>
      <w:lvlJc w:val="left"/>
      <w:pPr>
        <w:tabs>
          <w:tab w:val="num" w:pos="4320"/>
        </w:tabs>
        <w:ind w:left="4320" w:hanging="360"/>
      </w:pPr>
      <w:rPr>
        <w:rFonts w:ascii="Times New Roman" w:hAnsi="Times New Roman" w:cs="Times New Roman" w:hint="default"/>
      </w:rPr>
    </w:lvl>
    <w:lvl w:ilvl="6" w:tplc="B2003B36">
      <w:start w:val="1"/>
      <w:numFmt w:val="bullet"/>
      <w:lvlText w:val="•"/>
      <w:lvlJc w:val="left"/>
      <w:pPr>
        <w:tabs>
          <w:tab w:val="num" w:pos="5040"/>
        </w:tabs>
        <w:ind w:left="5040" w:hanging="360"/>
      </w:pPr>
      <w:rPr>
        <w:rFonts w:ascii="Times New Roman" w:hAnsi="Times New Roman" w:cs="Times New Roman" w:hint="default"/>
      </w:rPr>
    </w:lvl>
    <w:lvl w:ilvl="7" w:tplc="F8CA030A">
      <w:start w:val="1"/>
      <w:numFmt w:val="bullet"/>
      <w:lvlText w:val="•"/>
      <w:lvlJc w:val="left"/>
      <w:pPr>
        <w:tabs>
          <w:tab w:val="num" w:pos="5760"/>
        </w:tabs>
        <w:ind w:left="5760" w:hanging="360"/>
      </w:pPr>
      <w:rPr>
        <w:rFonts w:ascii="Times New Roman" w:hAnsi="Times New Roman" w:cs="Times New Roman" w:hint="default"/>
      </w:rPr>
    </w:lvl>
    <w:lvl w:ilvl="8" w:tplc="E3C6AE02">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614A181A"/>
    <w:multiLevelType w:val="hybridMultilevel"/>
    <w:tmpl w:val="B27CAE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13F5FA5"/>
    <w:multiLevelType w:val="hybridMultilevel"/>
    <w:tmpl w:val="43125B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88D7D35"/>
    <w:multiLevelType w:val="hybridMultilevel"/>
    <w:tmpl w:val="27A443E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7B7179E3"/>
    <w:multiLevelType w:val="hybridMultilevel"/>
    <w:tmpl w:val="86C239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C9353F8"/>
    <w:multiLevelType w:val="hybridMultilevel"/>
    <w:tmpl w:val="53E28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15"/>
  </w:num>
  <w:num w:numId="6">
    <w:abstractNumId w:val="2"/>
  </w:num>
  <w:num w:numId="7">
    <w:abstractNumId w:val="12"/>
  </w:num>
  <w:num w:numId="8">
    <w:abstractNumId w:val="0"/>
  </w:num>
  <w:num w:numId="9">
    <w:abstractNumId w:val="14"/>
  </w:num>
  <w:num w:numId="10">
    <w:abstractNumId w:val="5"/>
  </w:num>
  <w:num w:numId="11">
    <w:abstractNumId w:val="16"/>
  </w:num>
  <w:num w:numId="12">
    <w:abstractNumId w:val="6"/>
  </w:num>
  <w:num w:numId="13">
    <w:abstractNumId w:val="4"/>
  </w:num>
  <w:num w:numId="14">
    <w:abstractNumId w:val="13"/>
  </w:num>
  <w:num w:numId="15">
    <w:abstractNumId w:val="10"/>
  </w:num>
  <w:num w:numId="16">
    <w:abstractNumId w:val="7"/>
  </w:num>
  <w:num w:numId="17">
    <w:abstractNumId w:val="8"/>
  </w:num>
  <w:num w:numId="18">
    <w:abstractNumId w:val="17"/>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62"/>
    <w:rsid w:val="0003139C"/>
    <w:rsid w:val="000641AB"/>
    <w:rsid w:val="0009659D"/>
    <w:rsid w:val="000A7429"/>
    <w:rsid w:val="000B50CF"/>
    <w:rsid w:val="000B735B"/>
    <w:rsid w:val="000D2F71"/>
    <w:rsid w:val="000D7711"/>
    <w:rsid w:val="000E7DAE"/>
    <w:rsid w:val="00102179"/>
    <w:rsid w:val="00113328"/>
    <w:rsid w:val="00176583"/>
    <w:rsid w:val="001B6066"/>
    <w:rsid w:val="001C2BD6"/>
    <w:rsid w:val="001C6910"/>
    <w:rsid w:val="001C7CEC"/>
    <w:rsid w:val="001F6B87"/>
    <w:rsid w:val="002225F6"/>
    <w:rsid w:val="00237BBD"/>
    <w:rsid w:val="002542D5"/>
    <w:rsid w:val="002838FB"/>
    <w:rsid w:val="002A00F4"/>
    <w:rsid w:val="002B2974"/>
    <w:rsid w:val="002B5218"/>
    <w:rsid w:val="002C49BF"/>
    <w:rsid w:val="003502BD"/>
    <w:rsid w:val="00370498"/>
    <w:rsid w:val="003806A6"/>
    <w:rsid w:val="003870AD"/>
    <w:rsid w:val="00387344"/>
    <w:rsid w:val="003A6A5F"/>
    <w:rsid w:val="003B19A6"/>
    <w:rsid w:val="003D4726"/>
    <w:rsid w:val="003E1952"/>
    <w:rsid w:val="0042219D"/>
    <w:rsid w:val="004356BB"/>
    <w:rsid w:val="00442EC0"/>
    <w:rsid w:val="00465980"/>
    <w:rsid w:val="00481BC6"/>
    <w:rsid w:val="004844C5"/>
    <w:rsid w:val="00493108"/>
    <w:rsid w:val="004C0A14"/>
    <w:rsid w:val="004D0390"/>
    <w:rsid w:val="004F79E9"/>
    <w:rsid w:val="0051307B"/>
    <w:rsid w:val="005304DD"/>
    <w:rsid w:val="00533EA0"/>
    <w:rsid w:val="00595126"/>
    <w:rsid w:val="005F7CAC"/>
    <w:rsid w:val="006434CA"/>
    <w:rsid w:val="00655109"/>
    <w:rsid w:val="006650FA"/>
    <w:rsid w:val="00673E95"/>
    <w:rsid w:val="00681F65"/>
    <w:rsid w:val="006B19D1"/>
    <w:rsid w:val="006B4BDE"/>
    <w:rsid w:val="006B657D"/>
    <w:rsid w:val="007571E6"/>
    <w:rsid w:val="007858C1"/>
    <w:rsid w:val="007878BA"/>
    <w:rsid w:val="008307CC"/>
    <w:rsid w:val="00862695"/>
    <w:rsid w:val="00862D84"/>
    <w:rsid w:val="0087771D"/>
    <w:rsid w:val="008A2B6B"/>
    <w:rsid w:val="008B6422"/>
    <w:rsid w:val="008C3DCE"/>
    <w:rsid w:val="00915E62"/>
    <w:rsid w:val="00992F38"/>
    <w:rsid w:val="009B60C8"/>
    <w:rsid w:val="009F6EC0"/>
    <w:rsid w:val="00A02C67"/>
    <w:rsid w:val="00A20ACC"/>
    <w:rsid w:val="00A24C2B"/>
    <w:rsid w:val="00A519A2"/>
    <w:rsid w:val="00A5648E"/>
    <w:rsid w:val="00A62B1B"/>
    <w:rsid w:val="00A857A4"/>
    <w:rsid w:val="00AA74C1"/>
    <w:rsid w:val="00B37300"/>
    <w:rsid w:val="00B6793C"/>
    <w:rsid w:val="00B75A7B"/>
    <w:rsid w:val="00B76AF8"/>
    <w:rsid w:val="00B82854"/>
    <w:rsid w:val="00B92120"/>
    <w:rsid w:val="00BA70B6"/>
    <w:rsid w:val="00BD771F"/>
    <w:rsid w:val="00C52910"/>
    <w:rsid w:val="00C60A30"/>
    <w:rsid w:val="00C701D8"/>
    <w:rsid w:val="00C768CA"/>
    <w:rsid w:val="00C879F7"/>
    <w:rsid w:val="00CA2AAF"/>
    <w:rsid w:val="00CD0C6F"/>
    <w:rsid w:val="00D278F6"/>
    <w:rsid w:val="00D31DBD"/>
    <w:rsid w:val="00D63115"/>
    <w:rsid w:val="00DA0757"/>
    <w:rsid w:val="00DA5484"/>
    <w:rsid w:val="00DE1B90"/>
    <w:rsid w:val="00DF1915"/>
    <w:rsid w:val="00DF24FF"/>
    <w:rsid w:val="00E662A3"/>
    <w:rsid w:val="00EA2234"/>
    <w:rsid w:val="00EB34AA"/>
    <w:rsid w:val="00EB7534"/>
    <w:rsid w:val="00EC6238"/>
    <w:rsid w:val="00F026F9"/>
    <w:rsid w:val="00F0471B"/>
    <w:rsid w:val="00F07FB5"/>
    <w:rsid w:val="00F11B35"/>
    <w:rsid w:val="00F124C4"/>
    <w:rsid w:val="00F20524"/>
    <w:rsid w:val="00F23CBA"/>
    <w:rsid w:val="00F31A37"/>
    <w:rsid w:val="00F93825"/>
    <w:rsid w:val="00F96FF5"/>
    <w:rsid w:val="00FA0127"/>
    <w:rsid w:val="00FB2D48"/>
    <w:rsid w:val="00FB576F"/>
    <w:rsid w:val="00FD4600"/>
    <w:rsid w:val="00FD4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6A7754"/>
  <w15:docId w15:val="{4453EA5D-8180-4803-901F-C17CAAF2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E95"/>
    <w:rPr>
      <w:lang w:val="en-AU"/>
    </w:rPr>
  </w:style>
  <w:style w:type="paragraph" w:styleId="Footer">
    <w:name w:val="footer"/>
    <w:basedOn w:val="Normal"/>
    <w:link w:val="FooterChar"/>
    <w:uiPriority w:val="99"/>
    <w:unhideWhenUsed/>
    <w:rsid w:val="00673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E95"/>
    <w:rPr>
      <w:lang w:val="en-AU"/>
    </w:rPr>
  </w:style>
  <w:style w:type="paragraph" w:styleId="ListParagraph">
    <w:name w:val="List Paragraph"/>
    <w:basedOn w:val="Normal"/>
    <w:uiPriority w:val="34"/>
    <w:qFormat/>
    <w:rsid w:val="00A519A2"/>
    <w:pPr>
      <w:ind w:left="720"/>
      <w:contextualSpacing/>
    </w:pPr>
  </w:style>
  <w:style w:type="paragraph" w:styleId="BalloonText">
    <w:name w:val="Balloon Text"/>
    <w:basedOn w:val="Normal"/>
    <w:link w:val="BalloonTextChar"/>
    <w:uiPriority w:val="99"/>
    <w:semiHidden/>
    <w:unhideWhenUsed/>
    <w:rsid w:val="00A20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ACC"/>
    <w:rPr>
      <w:rFonts w:ascii="Segoe UI" w:hAnsi="Segoe UI" w:cs="Segoe UI"/>
      <w:sz w:val="18"/>
      <w:szCs w:val="18"/>
      <w:lang w:val="en-AU"/>
    </w:rPr>
  </w:style>
  <w:style w:type="character" w:styleId="CommentReference">
    <w:name w:val="annotation reference"/>
    <w:basedOn w:val="DefaultParagraphFont"/>
    <w:uiPriority w:val="99"/>
    <w:semiHidden/>
    <w:unhideWhenUsed/>
    <w:rsid w:val="003502BD"/>
    <w:rPr>
      <w:sz w:val="16"/>
      <w:szCs w:val="16"/>
    </w:rPr>
  </w:style>
  <w:style w:type="paragraph" w:styleId="CommentText">
    <w:name w:val="annotation text"/>
    <w:basedOn w:val="Normal"/>
    <w:link w:val="CommentTextChar"/>
    <w:uiPriority w:val="99"/>
    <w:unhideWhenUsed/>
    <w:rsid w:val="003502BD"/>
    <w:pPr>
      <w:spacing w:line="240" w:lineRule="auto"/>
    </w:pPr>
    <w:rPr>
      <w:sz w:val="20"/>
      <w:szCs w:val="20"/>
    </w:rPr>
  </w:style>
  <w:style w:type="character" w:customStyle="1" w:styleId="CommentTextChar">
    <w:name w:val="Comment Text Char"/>
    <w:basedOn w:val="DefaultParagraphFont"/>
    <w:link w:val="CommentText"/>
    <w:uiPriority w:val="99"/>
    <w:rsid w:val="003502BD"/>
    <w:rPr>
      <w:sz w:val="20"/>
      <w:szCs w:val="20"/>
      <w:lang w:val="en-AU"/>
    </w:rPr>
  </w:style>
  <w:style w:type="paragraph" w:styleId="CommentSubject">
    <w:name w:val="annotation subject"/>
    <w:basedOn w:val="CommentText"/>
    <w:next w:val="CommentText"/>
    <w:link w:val="CommentSubjectChar"/>
    <w:uiPriority w:val="99"/>
    <w:semiHidden/>
    <w:unhideWhenUsed/>
    <w:rsid w:val="003502BD"/>
    <w:rPr>
      <w:b/>
      <w:bCs/>
    </w:rPr>
  </w:style>
  <w:style w:type="character" w:customStyle="1" w:styleId="CommentSubjectChar">
    <w:name w:val="Comment Subject Char"/>
    <w:basedOn w:val="CommentTextChar"/>
    <w:link w:val="CommentSubject"/>
    <w:uiPriority w:val="99"/>
    <w:semiHidden/>
    <w:rsid w:val="003502BD"/>
    <w:rPr>
      <w:b/>
      <w:bCs/>
      <w:sz w:val="20"/>
      <w:szCs w:val="20"/>
      <w:lang w:val="en-AU"/>
    </w:rPr>
  </w:style>
  <w:style w:type="paragraph" w:styleId="FootnoteText">
    <w:name w:val="footnote text"/>
    <w:basedOn w:val="Normal"/>
    <w:link w:val="FootnoteTextChar"/>
    <w:uiPriority w:val="99"/>
    <w:semiHidden/>
    <w:unhideWhenUsed/>
    <w:rsid w:val="00F31A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A37"/>
    <w:rPr>
      <w:sz w:val="20"/>
      <w:szCs w:val="20"/>
      <w:lang w:val="en-AU"/>
    </w:rPr>
  </w:style>
  <w:style w:type="character" w:styleId="FootnoteReference">
    <w:name w:val="footnote reference"/>
    <w:basedOn w:val="DefaultParagraphFont"/>
    <w:uiPriority w:val="99"/>
    <w:semiHidden/>
    <w:unhideWhenUsed/>
    <w:rsid w:val="00F31A37"/>
    <w:rPr>
      <w:vertAlign w:val="superscript"/>
    </w:rPr>
  </w:style>
  <w:style w:type="character" w:styleId="Hyperlink">
    <w:name w:val="Hyperlink"/>
    <w:basedOn w:val="DefaultParagraphFont"/>
    <w:uiPriority w:val="99"/>
    <w:unhideWhenUsed/>
    <w:rsid w:val="00F31A37"/>
    <w:rPr>
      <w:color w:val="0563C1" w:themeColor="hyperlink"/>
      <w:u w:val="single"/>
    </w:rPr>
  </w:style>
  <w:style w:type="character" w:styleId="UnresolvedMention">
    <w:name w:val="Unresolved Mention"/>
    <w:basedOn w:val="DefaultParagraphFont"/>
    <w:uiPriority w:val="99"/>
    <w:semiHidden/>
    <w:unhideWhenUsed/>
    <w:rsid w:val="00F31A37"/>
    <w:rPr>
      <w:color w:val="605E5C"/>
      <w:shd w:val="clear" w:color="auto" w:fill="E1DFDD"/>
    </w:rPr>
  </w:style>
  <w:style w:type="paragraph" w:customStyle="1" w:styleId="ACGRHeading1">
    <w:name w:val="*ACGR Heading 1"/>
    <w:basedOn w:val="Normal"/>
    <w:qFormat/>
    <w:rsid w:val="00FB2D48"/>
    <w:pPr>
      <w:spacing w:before="240" w:after="120"/>
    </w:pPr>
    <w:rPr>
      <w:b/>
      <w:bCs/>
      <w:sz w:val="40"/>
      <w:szCs w:val="32"/>
    </w:rPr>
  </w:style>
  <w:style w:type="paragraph" w:customStyle="1" w:styleId="ACGRHeading2">
    <w:name w:val="* ACGR Heading 2"/>
    <w:basedOn w:val="Normal"/>
    <w:qFormat/>
    <w:rsid w:val="00FB2D48"/>
    <w:pPr>
      <w:keepNext/>
      <w:spacing w:before="240" w:after="120"/>
    </w:pPr>
    <w:rPr>
      <w:b/>
      <w:bCs/>
      <w:sz w:val="32"/>
      <w:szCs w:val="32"/>
    </w:rPr>
  </w:style>
  <w:style w:type="paragraph" w:customStyle="1" w:styleId="ACGRBody">
    <w:name w:val="*ACGR Body"/>
    <w:basedOn w:val="Normal"/>
    <w:qFormat/>
    <w:rsid w:val="00FB2D48"/>
    <w:rPr>
      <w:rFonts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639525">
      <w:bodyDiv w:val="1"/>
      <w:marLeft w:val="0"/>
      <w:marRight w:val="0"/>
      <w:marTop w:val="0"/>
      <w:marBottom w:val="0"/>
      <w:divBdr>
        <w:top w:val="none" w:sz="0" w:space="0" w:color="auto"/>
        <w:left w:val="none" w:sz="0" w:space="0" w:color="auto"/>
        <w:bottom w:val="none" w:sz="0" w:space="0" w:color="auto"/>
        <w:right w:val="none" w:sz="0" w:space="0" w:color="auto"/>
      </w:divBdr>
    </w:div>
    <w:div w:id="814880532">
      <w:bodyDiv w:val="1"/>
      <w:marLeft w:val="0"/>
      <w:marRight w:val="0"/>
      <w:marTop w:val="0"/>
      <w:marBottom w:val="0"/>
      <w:divBdr>
        <w:top w:val="none" w:sz="0" w:space="0" w:color="auto"/>
        <w:left w:val="none" w:sz="0" w:space="0" w:color="auto"/>
        <w:bottom w:val="none" w:sz="0" w:space="0" w:color="auto"/>
        <w:right w:val="none" w:sz="0" w:space="0" w:color="auto"/>
      </w:divBdr>
    </w:div>
    <w:div w:id="815535506">
      <w:bodyDiv w:val="1"/>
      <w:marLeft w:val="0"/>
      <w:marRight w:val="0"/>
      <w:marTop w:val="0"/>
      <w:marBottom w:val="0"/>
      <w:divBdr>
        <w:top w:val="none" w:sz="0" w:space="0" w:color="auto"/>
        <w:left w:val="none" w:sz="0" w:space="0" w:color="auto"/>
        <w:bottom w:val="none" w:sz="0" w:space="0" w:color="auto"/>
        <w:right w:val="none" w:sz="0" w:space="0" w:color="auto"/>
      </w:divBdr>
    </w:div>
    <w:div w:id="904485418">
      <w:bodyDiv w:val="1"/>
      <w:marLeft w:val="0"/>
      <w:marRight w:val="0"/>
      <w:marTop w:val="0"/>
      <w:marBottom w:val="0"/>
      <w:divBdr>
        <w:top w:val="none" w:sz="0" w:space="0" w:color="auto"/>
        <w:left w:val="none" w:sz="0" w:space="0" w:color="auto"/>
        <w:bottom w:val="none" w:sz="0" w:space="0" w:color="auto"/>
        <w:right w:val="none" w:sz="0" w:space="0" w:color="auto"/>
      </w:divBdr>
    </w:div>
    <w:div w:id="1245186883">
      <w:bodyDiv w:val="1"/>
      <w:marLeft w:val="0"/>
      <w:marRight w:val="0"/>
      <w:marTop w:val="0"/>
      <w:marBottom w:val="0"/>
      <w:divBdr>
        <w:top w:val="none" w:sz="0" w:space="0" w:color="auto"/>
        <w:left w:val="none" w:sz="0" w:space="0" w:color="auto"/>
        <w:bottom w:val="none" w:sz="0" w:space="0" w:color="auto"/>
        <w:right w:val="none" w:sz="0" w:space="0" w:color="auto"/>
      </w:divBdr>
    </w:div>
    <w:div w:id="1479884023">
      <w:bodyDiv w:val="1"/>
      <w:marLeft w:val="0"/>
      <w:marRight w:val="0"/>
      <w:marTop w:val="0"/>
      <w:marBottom w:val="0"/>
      <w:divBdr>
        <w:top w:val="none" w:sz="0" w:space="0" w:color="auto"/>
        <w:left w:val="none" w:sz="0" w:space="0" w:color="auto"/>
        <w:bottom w:val="none" w:sz="0" w:space="0" w:color="auto"/>
        <w:right w:val="none" w:sz="0" w:space="0" w:color="auto"/>
      </w:divBdr>
      <w:divsChild>
        <w:div w:id="546648417">
          <w:marLeft w:val="446"/>
          <w:marRight w:val="0"/>
          <w:marTop w:val="0"/>
          <w:marBottom w:val="0"/>
          <w:divBdr>
            <w:top w:val="none" w:sz="0" w:space="0" w:color="auto"/>
            <w:left w:val="none" w:sz="0" w:space="0" w:color="auto"/>
            <w:bottom w:val="none" w:sz="0" w:space="0" w:color="auto"/>
            <w:right w:val="none" w:sz="0" w:space="0" w:color="auto"/>
          </w:divBdr>
        </w:div>
        <w:div w:id="112790297">
          <w:marLeft w:val="446"/>
          <w:marRight w:val="0"/>
          <w:marTop w:val="0"/>
          <w:marBottom w:val="0"/>
          <w:divBdr>
            <w:top w:val="none" w:sz="0" w:space="0" w:color="auto"/>
            <w:left w:val="none" w:sz="0" w:space="0" w:color="auto"/>
            <w:bottom w:val="none" w:sz="0" w:space="0" w:color="auto"/>
            <w:right w:val="none" w:sz="0" w:space="0" w:color="auto"/>
          </w:divBdr>
        </w:div>
      </w:divsChild>
    </w:div>
    <w:div w:id="16443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cgr.edu.au/good-practice/" TargetMode="External"/><Relationship Id="rId1" Type="http://schemas.openxmlformats.org/officeDocument/2006/relationships/hyperlink" Target="https://www.who.int/news-room/fact-sheets/detail/mental-health-strengthening-our-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89B3241182B04099FAD2F063B4125A" ma:contentTypeVersion="13" ma:contentTypeDescription="Create a new document." ma:contentTypeScope="" ma:versionID="99c69303b78272ece9afb75e10e8eebe">
  <xsd:schema xmlns:xsd="http://www.w3.org/2001/XMLSchema" xmlns:xs="http://www.w3.org/2001/XMLSchema" xmlns:p="http://schemas.microsoft.com/office/2006/metadata/properties" xmlns:ns3="78a74446-de31-4b27-b648-38c6cd94a5b0" xmlns:ns4="bf1280e1-93c1-41ac-b972-e718d527ccf3" targetNamespace="http://schemas.microsoft.com/office/2006/metadata/properties" ma:root="true" ma:fieldsID="93a49231403224eb97502d70335e4aaa" ns3:_="" ns4:_="">
    <xsd:import namespace="78a74446-de31-4b27-b648-38c6cd94a5b0"/>
    <xsd:import namespace="bf1280e1-93c1-41ac-b972-e718d527ccf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74446-de31-4b27-b648-38c6cd94a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280e1-93c1-41ac-b972-e718d527cc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537FA-02B8-4FA7-A936-870D1BDC04C8}">
  <ds:schemaRefs>
    <ds:schemaRef ds:uri="http://schemas.microsoft.com/sharepoint/v3/contenttype/forms"/>
  </ds:schemaRefs>
</ds:datastoreItem>
</file>

<file path=customXml/itemProps2.xml><?xml version="1.0" encoding="utf-8"?>
<ds:datastoreItem xmlns:ds="http://schemas.openxmlformats.org/officeDocument/2006/customXml" ds:itemID="{15960524-BAA7-4F63-8775-036084E39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74446-de31-4b27-b648-38c6cd94a5b0"/>
    <ds:schemaRef ds:uri="bf1280e1-93c1-41ac-b972-e718d527c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113D5-7678-43B0-B51A-7D86E0218197}">
  <ds:schemaRefs>
    <ds:schemaRef ds:uri="http://schemas.openxmlformats.org/officeDocument/2006/bibliography"/>
  </ds:schemaRefs>
</ds:datastoreItem>
</file>

<file path=customXml/itemProps4.xml><?xml version="1.0" encoding="utf-8"?>
<ds:datastoreItem xmlns:ds="http://schemas.openxmlformats.org/officeDocument/2006/customXml" ds:itemID="{FAD7555B-AED1-4E26-9883-E2C62D4DE5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Buckley</dc:creator>
  <cp:keywords/>
  <dc:description/>
  <cp:lastModifiedBy>Microsoft Office User</cp:lastModifiedBy>
  <cp:revision>4</cp:revision>
  <dcterms:created xsi:type="dcterms:W3CDTF">2021-07-15T05:20:00Z</dcterms:created>
  <dcterms:modified xsi:type="dcterms:W3CDTF">2021-07-15T05:31:00Z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0x0101002589B3241182B04099FAD2F063B4125A</vt:lpwstr>
  </property>
</Properties>
</file>