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14B09" w14:textId="7CA07B84" w:rsidR="002E36A9" w:rsidRDefault="002E36A9" w:rsidP="00FC7374">
      <w:pPr>
        <w:jc w:val="both"/>
        <w:rPr>
          <w:rFonts w:asciiTheme="minorHAnsi" w:hAnsiTheme="minorHAnsi"/>
          <w:b/>
        </w:rPr>
      </w:pPr>
      <w:r>
        <w:rPr>
          <w:rFonts w:asciiTheme="minorHAnsi" w:hAnsiTheme="minorHAnsi"/>
          <w:b/>
          <w:noProof/>
          <w:lang w:val="en-US"/>
        </w:rPr>
        <w:drawing>
          <wp:inline distT="0" distB="0" distL="0" distR="0" wp14:anchorId="56416CDB" wp14:editId="37F30FB5">
            <wp:extent cx="3657600" cy="109065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0780" cy="1091598"/>
                    </a:xfrm>
                    <a:prstGeom prst="rect">
                      <a:avLst/>
                    </a:prstGeom>
                    <a:noFill/>
                    <a:ln>
                      <a:noFill/>
                    </a:ln>
                  </pic:spPr>
                </pic:pic>
              </a:graphicData>
            </a:graphic>
          </wp:inline>
        </w:drawing>
      </w:r>
    </w:p>
    <w:p w14:paraId="088862D4" w14:textId="77777777" w:rsidR="002E36A9" w:rsidRDefault="002E36A9" w:rsidP="00FC7374">
      <w:pPr>
        <w:jc w:val="both"/>
        <w:rPr>
          <w:rFonts w:asciiTheme="minorHAnsi" w:hAnsiTheme="minorHAnsi"/>
          <w:b/>
        </w:rPr>
      </w:pPr>
    </w:p>
    <w:p w14:paraId="4CE5DCD5" w14:textId="2DF09110" w:rsidR="00FC7374" w:rsidRPr="00096648" w:rsidRDefault="00FC7374" w:rsidP="00FC7374">
      <w:pPr>
        <w:jc w:val="both"/>
        <w:rPr>
          <w:rFonts w:asciiTheme="minorHAnsi" w:hAnsiTheme="minorHAnsi"/>
          <w:b/>
        </w:rPr>
      </w:pPr>
      <w:r w:rsidRPr="00096648">
        <w:rPr>
          <w:rFonts w:asciiTheme="minorHAnsi" w:hAnsiTheme="minorHAnsi"/>
          <w:b/>
        </w:rPr>
        <w:t>University Research Commercialisation – Consultation Paper</w:t>
      </w:r>
    </w:p>
    <w:p w14:paraId="53B7B27D" w14:textId="01AA8EFA" w:rsidR="00FC7374" w:rsidRPr="00096648" w:rsidRDefault="00FC7374" w:rsidP="00FC7374">
      <w:pPr>
        <w:jc w:val="both"/>
        <w:rPr>
          <w:rFonts w:asciiTheme="minorHAnsi" w:hAnsiTheme="minorHAnsi"/>
          <w:b/>
        </w:rPr>
      </w:pPr>
      <w:r w:rsidRPr="00096648">
        <w:rPr>
          <w:rFonts w:asciiTheme="minorHAnsi" w:hAnsiTheme="minorHAnsi"/>
          <w:b/>
        </w:rPr>
        <w:t>Submission from the Australian Council of Graduate Research</w:t>
      </w:r>
      <w:r w:rsidR="00096648">
        <w:rPr>
          <w:rFonts w:asciiTheme="minorHAnsi" w:hAnsiTheme="minorHAnsi"/>
          <w:b/>
        </w:rPr>
        <w:t xml:space="preserve"> </w:t>
      </w:r>
      <w:r w:rsidRPr="00096648">
        <w:rPr>
          <w:rStyle w:val="FootnoteReference"/>
          <w:rFonts w:asciiTheme="minorHAnsi" w:hAnsiTheme="minorHAnsi"/>
          <w:b/>
        </w:rPr>
        <w:footnoteReference w:id="1"/>
      </w:r>
      <w:r w:rsidRPr="00096648">
        <w:rPr>
          <w:rFonts w:asciiTheme="minorHAnsi" w:hAnsiTheme="minorHAnsi"/>
          <w:b/>
        </w:rPr>
        <w:t xml:space="preserve"> (ACGR) </w:t>
      </w:r>
    </w:p>
    <w:p w14:paraId="0E465C5D" w14:textId="77777777" w:rsidR="00614530" w:rsidRPr="00096648" w:rsidRDefault="00614530" w:rsidP="00FC7374">
      <w:pPr>
        <w:jc w:val="both"/>
        <w:rPr>
          <w:rFonts w:asciiTheme="minorHAnsi" w:hAnsiTheme="minorHAnsi"/>
        </w:rPr>
      </w:pPr>
    </w:p>
    <w:p w14:paraId="2CFDCA4A" w14:textId="4DD75511" w:rsidR="00FC7374" w:rsidRPr="00096648" w:rsidRDefault="00FC7374" w:rsidP="00FC7374">
      <w:pPr>
        <w:jc w:val="both"/>
        <w:rPr>
          <w:rFonts w:asciiTheme="minorHAnsi" w:hAnsiTheme="minorHAnsi"/>
        </w:rPr>
      </w:pPr>
      <w:r w:rsidRPr="00096648">
        <w:rPr>
          <w:rFonts w:asciiTheme="minorHAnsi" w:hAnsiTheme="minorHAnsi"/>
        </w:rPr>
        <w:t>The ACGR welcomes the recognition by government that ‘commercialisation’ of research is multi-faceted and involves both adoption of new research for commercial benefit to business as well as innovation through research that improves productivity. However, the background to the consultation paper is framed around the ‘barriers’ to university research commercialisation when in our view it would be more productive to assess the strengths across the R &amp; D system and then identify structures and settings required to</w:t>
      </w:r>
      <w:r w:rsidR="00C11D51" w:rsidRPr="00096648">
        <w:rPr>
          <w:rFonts w:asciiTheme="minorHAnsi" w:hAnsiTheme="minorHAnsi"/>
        </w:rPr>
        <w:t xml:space="preserve"> further</w:t>
      </w:r>
      <w:r w:rsidRPr="00096648">
        <w:rPr>
          <w:rFonts w:asciiTheme="minorHAnsi" w:hAnsiTheme="minorHAnsi"/>
        </w:rPr>
        <w:t xml:space="preserve"> develop an innovation system that would make full use of these strengths. As the peak body </w:t>
      </w:r>
      <w:r w:rsidR="00C11D51" w:rsidRPr="00096648">
        <w:rPr>
          <w:rFonts w:asciiTheme="minorHAnsi" w:hAnsiTheme="minorHAnsi"/>
        </w:rPr>
        <w:t>guiding quality and innovation</w:t>
      </w:r>
      <w:r w:rsidRPr="00096648">
        <w:rPr>
          <w:rFonts w:asciiTheme="minorHAnsi" w:hAnsiTheme="minorHAnsi"/>
        </w:rPr>
        <w:t xml:space="preserve"> in graduate research</w:t>
      </w:r>
      <w:r w:rsidR="00C11D51" w:rsidRPr="00096648">
        <w:rPr>
          <w:rFonts w:asciiTheme="minorHAnsi" w:hAnsiTheme="minorHAnsi"/>
        </w:rPr>
        <w:t xml:space="preserve"> (HDR)</w:t>
      </w:r>
      <w:r w:rsidRPr="00096648">
        <w:rPr>
          <w:rFonts w:asciiTheme="minorHAnsi" w:hAnsiTheme="minorHAnsi"/>
        </w:rPr>
        <w:t xml:space="preserve"> training in Australia it is also our view that building research workforce capability should be at the heart of design elements of</w:t>
      </w:r>
      <w:r w:rsidR="0038085F" w:rsidRPr="00096648">
        <w:rPr>
          <w:rFonts w:asciiTheme="minorHAnsi" w:hAnsiTheme="minorHAnsi"/>
        </w:rPr>
        <w:t xml:space="preserve"> new initiatives in University Research Commercialisation</w:t>
      </w:r>
      <w:r w:rsidRPr="00096648">
        <w:rPr>
          <w:rFonts w:asciiTheme="minorHAnsi" w:hAnsiTheme="minorHAnsi"/>
        </w:rPr>
        <w:t>.</w:t>
      </w:r>
    </w:p>
    <w:p w14:paraId="49DFCCAF" w14:textId="77777777" w:rsidR="002B52CE" w:rsidRPr="00096648" w:rsidRDefault="002B52CE" w:rsidP="003B53A0">
      <w:pPr>
        <w:jc w:val="both"/>
        <w:rPr>
          <w:rFonts w:asciiTheme="minorHAnsi" w:hAnsiTheme="minorHAnsi"/>
          <w:b/>
        </w:rPr>
      </w:pPr>
    </w:p>
    <w:p w14:paraId="730E01BA" w14:textId="073AEC7A" w:rsidR="001C0354" w:rsidRPr="00096648" w:rsidRDefault="00B36646" w:rsidP="003B53A0">
      <w:pPr>
        <w:jc w:val="both"/>
        <w:rPr>
          <w:rFonts w:asciiTheme="minorHAnsi" w:hAnsiTheme="minorHAnsi"/>
          <w:b/>
        </w:rPr>
      </w:pPr>
      <w:r w:rsidRPr="00096648">
        <w:rPr>
          <w:rFonts w:asciiTheme="minorHAnsi" w:hAnsiTheme="minorHAnsi"/>
          <w:b/>
        </w:rPr>
        <w:t>ACGR Perspective on Australia’s current performance in research commercialisation</w:t>
      </w:r>
    </w:p>
    <w:p w14:paraId="0884DEDD" w14:textId="11487738" w:rsidR="007D2291" w:rsidRPr="00096648" w:rsidRDefault="001C0354" w:rsidP="003B53A0">
      <w:pPr>
        <w:jc w:val="both"/>
        <w:rPr>
          <w:rFonts w:asciiTheme="minorHAnsi" w:hAnsiTheme="minorHAnsi"/>
        </w:rPr>
      </w:pPr>
      <w:r w:rsidRPr="00096648">
        <w:rPr>
          <w:rFonts w:asciiTheme="minorHAnsi" w:hAnsiTheme="minorHAnsi"/>
        </w:rPr>
        <w:t xml:space="preserve">Universities are complex enterprises that combine learning/skill development, research/innovation and </w:t>
      </w:r>
      <w:r w:rsidR="00807031" w:rsidRPr="00096648">
        <w:rPr>
          <w:rFonts w:asciiTheme="minorHAnsi" w:hAnsiTheme="minorHAnsi"/>
        </w:rPr>
        <w:t>industry</w:t>
      </w:r>
      <w:r w:rsidRPr="00096648">
        <w:rPr>
          <w:rFonts w:asciiTheme="minorHAnsi" w:hAnsiTheme="minorHAnsi"/>
        </w:rPr>
        <w:t>/international engagement. There are good reasons why much of their research is positioned in TRL 1 (Basic Research); this type of research connects knowledge generation to student learning and it enables the development of the capabilities that underpin a ‘researcher mindset</w:t>
      </w:r>
      <w:r w:rsidR="00941730" w:rsidRPr="00096648">
        <w:rPr>
          <w:rFonts w:asciiTheme="minorHAnsi" w:hAnsiTheme="minorHAnsi"/>
        </w:rPr>
        <w:t xml:space="preserve">’, especially </w:t>
      </w:r>
      <w:r w:rsidR="007D2291" w:rsidRPr="00096648">
        <w:rPr>
          <w:rFonts w:asciiTheme="minorHAnsi" w:hAnsiTheme="minorHAnsi"/>
        </w:rPr>
        <w:t xml:space="preserve">in </w:t>
      </w:r>
      <w:r w:rsidR="00941730" w:rsidRPr="00096648">
        <w:rPr>
          <w:rFonts w:asciiTheme="minorHAnsi" w:hAnsiTheme="minorHAnsi"/>
        </w:rPr>
        <w:t xml:space="preserve">graduate researchers (HDR students). Quality research outputs have undoubtedly helped drive international fee income </w:t>
      </w:r>
      <w:proofErr w:type="gramStart"/>
      <w:r w:rsidR="00941730" w:rsidRPr="00096648">
        <w:rPr>
          <w:rFonts w:asciiTheme="minorHAnsi" w:hAnsiTheme="minorHAnsi"/>
        </w:rPr>
        <w:t>but</w:t>
      </w:r>
      <w:proofErr w:type="gramEnd"/>
      <w:r w:rsidR="00941730" w:rsidRPr="00096648">
        <w:rPr>
          <w:rFonts w:asciiTheme="minorHAnsi" w:hAnsiTheme="minorHAnsi"/>
        </w:rPr>
        <w:t xml:space="preserve"> it should also be recognised that industry (especially multi-nationals) also use publication quality as a proxy for excellence in research when they are looking at university partners. It would be a mistake to discount the importance of publication impact; the ERA assessment demonstrates that all Australian universities </w:t>
      </w:r>
      <w:r w:rsidR="00C11D51" w:rsidRPr="00096648">
        <w:rPr>
          <w:rFonts w:asciiTheme="minorHAnsi" w:hAnsiTheme="minorHAnsi"/>
        </w:rPr>
        <w:t>operate</w:t>
      </w:r>
      <w:r w:rsidR="00941730" w:rsidRPr="00096648">
        <w:rPr>
          <w:rFonts w:asciiTheme="minorHAnsi" w:hAnsiTheme="minorHAnsi"/>
        </w:rPr>
        <w:t xml:space="preserve"> at or above world benchmarks</w:t>
      </w:r>
      <w:r w:rsidR="00C11D51" w:rsidRPr="00096648">
        <w:rPr>
          <w:rFonts w:asciiTheme="minorHAnsi" w:hAnsiTheme="minorHAnsi"/>
        </w:rPr>
        <w:t xml:space="preserve"> in their areas of expertise</w:t>
      </w:r>
      <w:r w:rsidR="00941730" w:rsidRPr="00096648">
        <w:rPr>
          <w:rFonts w:asciiTheme="minorHAnsi" w:hAnsiTheme="minorHAnsi"/>
        </w:rPr>
        <w:t xml:space="preserve"> and </w:t>
      </w:r>
      <w:r w:rsidR="00614530" w:rsidRPr="00096648">
        <w:rPr>
          <w:rFonts w:asciiTheme="minorHAnsi" w:hAnsiTheme="minorHAnsi"/>
        </w:rPr>
        <w:t xml:space="preserve">so quality research </w:t>
      </w:r>
      <w:r w:rsidR="00941730" w:rsidRPr="00096648">
        <w:rPr>
          <w:rFonts w:asciiTheme="minorHAnsi" w:hAnsiTheme="minorHAnsi"/>
        </w:rPr>
        <w:t xml:space="preserve">should attract investment with the right settings. </w:t>
      </w:r>
    </w:p>
    <w:p w14:paraId="5F105EC2" w14:textId="12101F5B" w:rsidR="007D2291" w:rsidRPr="00096648" w:rsidRDefault="007D2291" w:rsidP="003B53A0">
      <w:pPr>
        <w:jc w:val="both"/>
        <w:rPr>
          <w:rFonts w:asciiTheme="minorHAnsi" w:hAnsiTheme="minorHAnsi"/>
        </w:rPr>
      </w:pPr>
    </w:p>
    <w:p w14:paraId="437AA4FB" w14:textId="720C1E9B" w:rsidR="00A36631" w:rsidRPr="00096648" w:rsidRDefault="007D2291" w:rsidP="0033179E">
      <w:pPr>
        <w:jc w:val="both"/>
        <w:rPr>
          <w:rFonts w:asciiTheme="minorHAnsi" w:hAnsiTheme="minorHAnsi"/>
        </w:rPr>
      </w:pPr>
      <w:r w:rsidRPr="00096648">
        <w:rPr>
          <w:rFonts w:asciiTheme="minorHAnsi" w:hAnsiTheme="minorHAnsi"/>
        </w:rPr>
        <w:t>Turning to business</w:t>
      </w:r>
      <w:r w:rsidR="0033179E" w:rsidRPr="00096648">
        <w:rPr>
          <w:rFonts w:asciiTheme="minorHAnsi" w:hAnsiTheme="minorHAnsi"/>
        </w:rPr>
        <w:t>, its</w:t>
      </w:r>
      <w:r w:rsidRPr="00096648">
        <w:rPr>
          <w:rFonts w:asciiTheme="minorHAnsi" w:hAnsiTheme="minorHAnsi"/>
        </w:rPr>
        <w:t xml:space="preserve"> </w:t>
      </w:r>
      <w:r w:rsidR="0033179E" w:rsidRPr="00096648">
        <w:rPr>
          <w:rFonts w:asciiTheme="minorHAnsi" w:hAnsiTheme="minorHAnsi"/>
        </w:rPr>
        <w:t xml:space="preserve">low risk appetite </w:t>
      </w:r>
      <w:r w:rsidR="00C11D51" w:rsidRPr="00096648">
        <w:rPr>
          <w:rFonts w:asciiTheme="minorHAnsi" w:hAnsiTheme="minorHAnsi"/>
        </w:rPr>
        <w:t>towards</w:t>
      </w:r>
      <w:r w:rsidR="0033179E" w:rsidRPr="00096648">
        <w:rPr>
          <w:rFonts w:asciiTheme="minorHAnsi" w:hAnsiTheme="minorHAnsi"/>
        </w:rPr>
        <w:t xml:space="preserve"> </w:t>
      </w:r>
      <w:r w:rsidRPr="00096648">
        <w:rPr>
          <w:rFonts w:asciiTheme="minorHAnsi" w:hAnsiTheme="minorHAnsi"/>
        </w:rPr>
        <w:t xml:space="preserve">R &amp; D investment </w:t>
      </w:r>
      <w:r w:rsidR="0033179E" w:rsidRPr="00096648">
        <w:rPr>
          <w:rFonts w:asciiTheme="minorHAnsi" w:hAnsiTheme="minorHAnsi"/>
        </w:rPr>
        <w:t xml:space="preserve">is </w:t>
      </w:r>
      <w:r w:rsidR="00614530" w:rsidRPr="00096648">
        <w:rPr>
          <w:rFonts w:asciiTheme="minorHAnsi" w:hAnsiTheme="minorHAnsi"/>
        </w:rPr>
        <w:t xml:space="preserve">not a new </w:t>
      </w:r>
      <w:r w:rsidR="0038085F" w:rsidRPr="00096648">
        <w:rPr>
          <w:rFonts w:asciiTheme="minorHAnsi" w:hAnsiTheme="minorHAnsi"/>
        </w:rPr>
        <w:t>observation</w:t>
      </w:r>
      <w:r w:rsidR="0033179E" w:rsidRPr="00096648">
        <w:rPr>
          <w:rFonts w:asciiTheme="minorHAnsi" w:hAnsiTheme="minorHAnsi"/>
        </w:rPr>
        <w:t xml:space="preserve"> but </w:t>
      </w:r>
      <w:r w:rsidR="006F0144" w:rsidRPr="00096648">
        <w:rPr>
          <w:rFonts w:asciiTheme="minorHAnsi" w:hAnsiTheme="minorHAnsi"/>
        </w:rPr>
        <w:t xml:space="preserve">ACGR is pleased to note the recognition that </w:t>
      </w:r>
      <w:r w:rsidRPr="00096648">
        <w:rPr>
          <w:rFonts w:asciiTheme="minorHAnsi" w:hAnsiTheme="minorHAnsi"/>
        </w:rPr>
        <w:t>government rather than private sector is the most important risk taker</w:t>
      </w:r>
      <w:r w:rsidR="0033179E" w:rsidRPr="00096648">
        <w:rPr>
          <w:rFonts w:asciiTheme="minorHAnsi" w:hAnsiTheme="minorHAnsi"/>
        </w:rPr>
        <w:t xml:space="preserve"> when it comes to research commercialisation</w:t>
      </w:r>
      <w:r w:rsidR="00807031" w:rsidRPr="00096648">
        <w:rPr>
          <w:rFonts w:asciiTheme="minorHAnsi" w:hAnsiTheme="minorHAnsi"/>
        </w:rPr>
        <w:t xml:space="preserve"> in the early stages (TRL 1-4)</w:t>
      </w:r>
      <w:r w:rsidR="0033179E" w:rsidRPr="00096648">
        <w:rPr>
          <w:rFonts w:asciiTheme="minorHAnsi" w:hAnsiTheme="minorHAnsi"/>
        </w:rPr>
        <w:t>. We also agree that the high proportion of SMEs in Australia means that a carefully thought through strategy</w:t>
      </w:r>
      <w:r w:rsidR="0038085F" w:rsidRPr="00096648">
        <w:rPr>
          <w:rFonts w:asciiTheme="minorHAnsi" w:hAnsiTheme="minorHAnsi"/>
        </w:rPr>
        <w:t xml:space="preserve"> is required</w:t>
      </w:r>
      <w:r w:rsidR="0033179E" w:rsidRPr="00096648">
        <w:rPr>
          <w:rFonts w:asciiTheme="minorHAnsi" w:hAnsiTheme="minorHAnsi"/>
        </w:rPr>
        <w:t xml:space="preserve"> to solve the challenge of </w:t>
      </w:r>
      <w:r w:rsidR="00C11D51" w:rsidRPr="00096648">
        <w:rPr>
          <w:rFonts w:asciiTheme="minorHAnsi" w:hAnsiTheme="minorHAnsi"/>
        </w:rPr>
        <w:t>the limited</w:t>
      </w:r>
      <w:r w:rsidR="0033179E" w:rsidRPr="00096648">
        <w:rPr>
          <w:rFonts w:asciiTheme="minorHAnsi" w:hAnsiTheme="minorHAnsi"/>
        </w:rPr>
        <w:t xml:space="preserve"> capacity </w:t>
      </w:r>
      <w:r w:rsidR="00C11D51" w:rsidRPr="00096648">
        <w:rPr>
          <w:rFonts w:asciiTheme="minorHAnsi" w:hAnsiTheme="minorHAnsi"/>
        </w:rPr>
        <w:t>of many</w:t>
      </w:r>
      <w:r w:rsidR="0033179E" w:rsidRPr="00096648">
        <w:rPr>
          <w:rFonts w:asciiTheme="minorHAnsi" w:hAnsiTheme="minorHAnsi"/>
        </w:rPr>
        <w:t xml:space="preserve"> SMEs to conduct ‘in house’ R &amp; D. Finally, the barriers in relation to IP should also come as no surprise</w:t>
      </w:r>
      <w:r w:rsidR="00614530" w:rsidRPr="00096648">
        <w:rPr>
          <w:rFonts w:asciiTheme="minorHAnsi" w:hAnsiTheme="minorHAnsi"/>
        </w:rPr>
        <w:t xml:space="preserve"> since</w:t>
      </w:r>
      <w:r w:rsidR="0033179E" w:rsidRPr="00096648">
        <w:rPr>
          <w:rFonts w:asciiTheme="minorHAnsi" w:hAnsiTheme="minorHAnsi"/>
        </w:rPr>
        <w:t xml:space="preserve"> Universities have been expected to behave as businesses themselves. If Universities were considered as key components of an ‘</w:t>
      </w:r>
      <w:r w:rsidR="0033179E" w:rsidRPr="00096648">
        <w:rPr>
          <w:rFonts w:asciiTheme="minorHAnsi" w:hAnsiTheme="minorHAnsi"/>
          <w:i/>
        </w:rPr>
        <w:t xml:space="preserve">Entrepreneurial </w:t>
      </w:r>
      <w:r w:rsidR="0033179E" w:rsidRPr="00096648">
        <w:rPr>
          <w:rFonts w:asciiTheme="minorHAnsi" w:hAnsiTheme="minorHAnsi"/>
          <w:i/>
        </w:rPr>
        <w:lastRenderedPageBreak/>
        <w:t>State</w:t>
      </w:r>
      <w:r w:rsidR="0033179E" w:rsidRPr="00096648">
        <w:rPr>
          <w:rFonts w:asciiTheme="minorHAnsi" w:hAnsiTheme="minorHAnsi"/>
        </w:rPr>
        <w:t>’</w:t>
      </w:r>
      <w:r w:rsidR="00096648">
        <w:rPr>
          <w:rStyle w:val="FootnoteReference"/>
          <w:rFonts w:asciiTheme="minorHAnsi" w:hAnsiTheme="minorHAnsi"/>
        </w:rPr>
        <w:footnoteReference w:id="2"/>
      </w:r>
      <w:r w:rsidR="002E36A9">
        <w:rPr>
          <w:rFonts w:asciiTheme="minorHAnsi" w:hAnsiTheme="minorHAnsi"/>
        </w:rPr>
        <w:t xml:space="preserve"> </w:t>
      </w:r>
      <w:r w:rsidR="0033179E" w:rsidRPr="00096648">
        <w:rPr>
          <w:rFonts w:asciiTheme="minorHAnsi" w:hAnsiTheme="minorHAnsi"/>
        </w:rPr>
        <w:t xml:space="preserve">and funded accordingly then a more open innovation system would emerge. </w:t>
      </w:r>
      <w:r w:rsidR="00A36631" w:rsidRPr="00096648">
        <w:rPr>
          <w:rFonts w:asciiTheme="minorHAnsi" w:hAnsiTheme="minorHAnsi"/>
        </w:rPr>
        <w:t xml:space="preserve">Although there may be a case for some adjustments to existing grant schemes </w:t>
      </w:r>
      <w:r w:rsidR="00C11D51" w:rsidRPr="00096648">
        <w:rPr>
          <w:rFonts w:asciiTheme="minorHAnsi" w:hAnsiTheme="minorHAnsi"/>
          <w:i/>
        </w:rPr>
        <w:t>additional</w:t>
      </w:r>
      <w:r w:rsidR="00A36631" w:rsidRPr="00096648">
        <w:rPr>
          <w:rFonts w:asciiTheme="minorHAnsi" w:hAnsiTheme="minorHAnsi"/>
          <w:i/>
        </w:rPr>
        <w:t xml:space="preserve"> investment</w:t>
      </w:r>
      <w:r w:rsidR="00A36631" w:rsidRPr="00096648">
        <w:rPr>
          <w:rFonts w:asciiTheme="minorHAnsi" w:hAnsiTheme="minorHAnsi"/>
        </w:rPr>
        <w:t xml:space="preserve"> is required.</w:t>
      </w:r>
      <w:r w:rsidR="00AE1AC9" w:rsidRPr="00096648">
        <w:rPr>
          <w:rFonts w:asciiTheme="minorHAnsi" w:hAnsiTheme="minorHAnsi"/>
        </w:rPr>
        <w:t xml:space="preserve"> </w:t>
      </w:r>
      <w:proofErr w:type="gramStart"/>
      <w:r w:rsidR="00AE1AC9" w:rsidRPr="00096648">
        <w:rPr>
          <w:rFonts w:asciiTheme="minorHAnsi" w:hAnsiTheme="minorHAnsi"/>
        </w:rPr>
        <w:t>I</w:t>
      </w:r>
      <w:r w:rsidR="0033179E" w:rsidRPr="00096648">
        <w:rPr>
          <w:rFonts w:asciiTheme="minorHAnsi" w:hAnsiTheme="minorHAnsi"/>
        </w:rPr>
        <w:t>nternational fees</w:t>
      </w:r>
      <w:r w:rsidR="00096648" w:rsidRPr="00096648">
        <w:rPr>
          <w:rFonts w:asciiTheme="minorHAnsi" w:hAnsiTheme="minorHAnsi"/>
        </w:rPr>
        <w:t xml:space="preserve"> income</w:t>
      </w:r>
      <w:r w:rsidR="006F0144" w:rsidRPr="00096648">
        <w:rPr>
          <w:rFonts w:asciiTheme="minorHAnsi" w:hAnsiTheme="minorHAnsi"/>
        </w:rPr>
        <w:t xml:space="preserve"> generated over the last decade,</w:t>
      </w:r>
      <w:r w:rsidR="0033179E" w:rsidRPr="00096648">
        <w:rPr>
          <w:rFonts w:asciiTheme="minorHAnsi" w:hAnsiTheme="minorHAnsi"/>
        </w:rPr>
        <w:t xml:space="preserve"> has been invested</w:t>
      </w:r>
      <w:r w:rsidR="006F0144" w:rsidRPr="00096648">
        <w:rPr>
          <w:rFonts w:asciiTheme="minorHAnsi" w:hAnsiTheme="minorHAnsi"/>
        </w:rPr>
        <w:t xml:space="preserve"> judiciously</w:t>
      </w:r>
      <w:r w:rsidR="00A36631" w:rsidRPr="00096648">
        <w:rPr>
          <w:rFonts w:asciiTheme="minorHAnsi" w:hAnsiTheme="minorHAnsi"/>
        </w:rPr>
        <w:t xml:space="preserve"> by Universities</w:t>
      </w:r>
      <w:proofErr w:type="gramEnd"/>
      <w:r w:rsidR="0033179E" w:rsidRPr="00096648">
        <w:rPr>
          <w:rFonts w:asciiTheme="minorHAnsi" w:hAnsiTheme="minorHAnsi"/>
        </w:rPr>
        <w:t xml:space="preserve"> in both people (often researchers) and in infrastructure.</w:t>
      </w:r>
      <w:r w:rsidR="006F0144" w:rsidRPr="00096648">
        <w:rPr>
          <w:rFonts w:asciiTheme="minorHAnsi" w:hAnsiTheme="minorHAnsi"/>
        </w:rPr>
        <w:t xml:space="preserve"> Increased</w:t>
      </w:r>
      <w:r w:rsidR="0033179E" w:rsidRPr="00096648">
        <w:rPr>
          <w:rFonts w:asciiTheme="minorHAnsi" w:hAnsiTheme="minorHAnsi"/>
        </w:rPr>
        <w:t xml:space="preserve"> government and business </w:t>
      </w:r>
      <w:r w:rsidR="006F0144" w:rsidRPr="00096648">
        <w:rPr>
          <w:rFonts w:asciiTheme="minorHAnsi" w:hAnsiTheme="minorHAnsi"/>
        </w:rPr>
        <w:t>spending to enhance university research commercialisation would make excellent use of these investments</w:t>
      </w:r>
      <w:r w:rsidR="00C11D51" w:rsidRPr="00096648">
        <w:rPr>
          <w:rFonts w:asciiTheme="minorHAnsi" w:hAnsiTheme="minorHAnsi"/>
        </w:rPr>
        <w:t>.</w:t>
      </w:r>
      <w:r w:rsidR="00A36631" w:rsidRPr="00096648">
        <w:rPr>
          <w:rFonts w:asciiTheme="minorHAnsi" w:hAnsiTheme="minorHAnsi"/>
        </w:rPr>
        <w:t xml:space="preserve"> </w:t>
      </w:r>
    </w:p>
    <w:p w14:paraId="72187A31" w14:textId="3014A61C" w:rsidR="00A36631" w:rsidRPr="00096648" w:rsidRDefault="00A36631" w:rsidP="0033179E">
      <w:pPr>
        <w:jc w:val="both"/>
        <w:rPr>
          <w:rFonts w:asciiTheme="minorHAnsi" w:hAnsiTheme="minorHAnsi"/>
        </w:rPr>
      </w:pPr>
    </w:p>
    <w:p w14:paraId="1332AA5A" w14:textId="584F5BA0" w:rsidR="00A36631" w:rsidRPr="00096648" w:rsidRDefault="00A36631" w:rsidP="00A85EF3">
      <w:pPr>
        <w:jc w:val="both"/>
        <w:rPr>
          <w:rFonts w:asciiTheme="minorHAnsi" w:hAnsiTheme="minorHAnsi"/>
        </w:rPr>
      </w:pPr>
      <w:r w:rsidRPr="00096648">
        <w:rPr>
          <w:rFonts w:asciiTheme="minorHAnsi" w:hAnsiTheme="minorHAnsi"/>
        </w:rPr>
        <w:t>It is now five years since the ACOLA Review of Australia’s Research Training System</w:t>
      </w:r>
      <w:r w:rsidR="00096648">
        <w:rPr>
          <w:rStyle w:val="FootnoteReference"/>
          <w:rFonts w:asciiTheme="minorHAnsi" w:hAnsiTheme="minorHAnsi"/>
        </w:rPr>
        <w:footnoteReference w:id="3"/>
      </w:r>
      <w:r w:rsidRPr="00096648">
        <w:rPr>
          <w:rFonts w:asciiTheme="minorHAnsi" w:hAnsiTheme="minorHAnsi"/>
        </w:rPr>
        <w:t xml:space="preserve"> released its report. The implementation of the review recommendations, driven by the ACGR and Universities and </w:t>
      </w:r>
      <w:r w:rsidR="00A85EF3" w:rsidRPr="00096648">
        <w:rPr>
          <w:rFonts w:asciiTheme="minorHAnsi" w:hAnsiTheme="minorHAnsi"/>
        </w:rPr>
        <w:t>government, in collaboration with numerous stakeholders has transformed graduate research education in Australia. The system is now producing graduate researchers with well-developed research, tr</w:t>
      </w:r>
      <w:r w:rsidR="009D1715" w:rsidRPr="00096648">
        <w:rPr>
          <w:rFonts w:asciiTheme="minorHAnsi" w:hAnsiTheme="minorHAnsi"/>
        </w:rPr>
        <w:t>a</w:t>
      </w:r>
      <w:r w:rsidR="00A85EF3" w:rsidRPr="00096648">
        <w:rPr>
          <w:rFonts w:asciiTheme="minorHAnsi" w:hAnsiTheme="minorHAnsi"/>
        </w:rPr>
        <w:t>nsferable and professional skills, and many of these graduates aspire to work outside of academia</w:t>
      </w:r>
      <w:r w:rsidR="00314841">
        <w:rPr>
          <w:rStyle w:val="FootnoteReference"/>
          <w:rFonts w:asciiTheme="minorHAnsi" w:hAnsiTheme="minorHAnsi"/>
        </w:rPr>
        <w:footnoteReference w:id="4"/>
      </w:r>
      <w:r w:rsidR="00A85EF3" w:rsidRPr="00096648">
        <w:rPr>
          <w:rFonts w:asciiTheme="minorHAnsi" w:hAnsiTheme="minorHAnsi"/>
        </w:rPr>
        <w:t>. Industry is also increasingly seeing the qualities that graduate researchers bring to a business through internship and placement schemes. The ACGR urges the government to build on this transformed Research Training system and put in place investment that will make full use of the capabilities this postdoctoral research workforce</w:t>
      </w:r>
      <w:r w:rsidR="009D1715" w:rsidRPr="00096648">
        <w:rPr>
          <w:rFonts w:asciiTheme="minorHAnsi" w:hAnsiTheme="minorHAnsi"/>
        </w:rPr>
        <w:t xml:space="preserve"> of PhD graduates</w:t>
      </w:r>
      <w:r w:rsidR="00A85EF3" w:rsidRPr="00096648">
        <w:rPr>
          <w:rFonts w:asciiTheme="minorHAnsi" w:hAnsiTheme="minorHAnsi"/>
        </w:rPr>
        <w:t xml:space="preserve">. </w:t>
      </w:r>
    </w:p>
    <w:p w14:paraId="24FBA370" w14:textId="64B9CE49" w:rsidR="00A1618A" w:rsidRPr="00096648" w:rsidRDefault="00A1618A" w:rsidP="00A85EF3">
      <w:pPr>
        <w:jc w:val="both"/>
        <w:rPr>
          <w:rFonts w:asciiTheme="minorHAnsi" w:hAnsiTheme="minorHAnsi"/>
        </w:rPr>
      </w:pPr>
    </w:p>
    <w:p w14:paraId="290E5BFE" w14:textId="3DAA4ACA" w:rsidR="00A36631" w:rsidRPr="00096648" w:rsidRDefault="00A1618A" w:rsidP="0033179E">
      <w:pPr>
        <w:jc w:val="both"/>
        <w:rPr>
          <w:rFonts w:asciiTheme="minorHAnsi" w:hAnsiTheme="minorHAnsi"/>
          <w:b/>
        </w:rPr>
      </w:pPr>
      <w:r w:rsidRPr="00096648">
        <w:rPr>
          <w:rFonts w:asciiTheme="minorHAnsi" w:hAnsiTheme="minorHAnsi"/>
          <w:b/>
        </w:rPr>
        <w:t>ACGR Response to Discussion Questions</w:t>
      </w:r>
    </w:p>
    <w:p w14:paraId="4903EF3D" w14:textId="36FDD86B" w:rsidR="00A1618A" w:rsidRPr="00096648" w:rsidRDefault="00A1618A" w:rsidP="0033179E">
      <w:pPr>
        <w:jc w:val="both"/>
        <w:rPr>
          <w:rFonts w:asciiTheme="minorHAnsi" w:hAnsiTheme="minorHAnsi"/>
          <w:b/>
        </w:rPr>
      </w:pPr>
    </w:p>
    <w:p w14:paraId="436451DE" w14:textId="07B6A2A2" w:rsidR="00A1618A" w:rsidRPr="00096648" w:rsidRDefault="00A1618A" w:rsidP="0033179E">
      <w:pPr>
        <w:jc w:val="both"/>
        <w:rPr>
          <w:rFonts w:asciiTheme="minorHAnsi" w:hAnsiTheme="minorHAnsi"/>
          <w:b/>
        </w:rPr>
      </w:pPr>
      <w:r w:rsidRPr="00096648">
        <w:rPr>
          <w:rFonts w:asciiTheme="minorHAnsi" w:hAnsiTheme="minorHAnsi"/>
          <w:b/>
        </w:rPr>
        <w:t>1. Mission Driven Research</w:t>
      </w:r>
    </w:p>
    <w:p w14:paraId="06051922" w14:textId="2BD227DA" w:rsidR="00807031" w:rsidRPr="00096648" w:rsidRDefault="00A1618A" w:rsidP="0033179E">
      <w:pPr>
        <w:jc w:val="both"/>
        <w:rPr>
          <w:rFonts w:asciiTheme="minorHAnsi" w:hAnsiTheme="minorHAnsi"/>
        </w:rPr>
      </w:pPr>
      <w:r w:rsidRPr="00096648">
        <w:rPr>
          <w:rFonts w:asciiTheme="minorHAnsi" w:hAnsiTheme="minorHAnsi"/>
        </w:rPr>
        <w:t xml:space="preserve">The concept of Mission-based innovation is (re-) gaining acceptance around the world and ACGR agrees that an Australian initiative is required, the more so in view of post-COVID, post-globalisation economic and national security considerations. </w:t>
      </w:r>
      <w:r w:rsidR="0070039B" w:rsidRPr="00096648">
        <w:rPr>
          <w:rFonts w:asciiTheme="minorHAnsi" w:hAnsiTheme="minorHAnsi"/>
        </w:rPr>
        <w:t xml:space="preserve">As </w:t>
      </w:r>
      <w:proofErr w:type="spellStart"/>
      <w:r w:rsidR="0070039B" w:rsidRPr="00096648">
        <w:rPr>
          <w:rFonts w:asciiTheme="minorHAnsi" w:hAnsiTheme="minorHAnsi"/>
        </w:rPr>
        <w:t>Mazzucato</w:t>
      </w:r>
      <w:proofErr w:type="spellEnd"/>
      <w:r w:rsidR="0070039B" w:rsidRPr="00096648">
        <w:rPr>
          <w:rFonts w:asciiTheme="minorHAnsi" w:hAnsiTheme="minorHAnsi"/>
        </w:rPr>
        <w:t xml:space="preserve"> de</w:t>
      </w:r>
      <w:r w:rsidR="00F82EFB" w:rsidRPr="00096648">
        <w:rPr>
          <w:rFonts w:asciiTheme="minorHAnsi" w:hAnsiTheme="minorHAnsi"/>
        </w:rPr>
        <w:t>scribes</w:t>
      </w:r>
      <w:r w:rsidR="0070039B" w:rsidRPr="00096648">
        <w:rPr>
          <w:rFonts w:asciiTheme="minorHAnsi" w:hAnsiTheme="minorHAnsi"/>
        </w:rPr>
        <w:t xml:space="preserve"> in</w:t>
      </w:r>
      <w:r w:rsidR="00807031" w:rsidRPr="00096648">
        <w:rPr>
          <w:rFonts w:asciiTheme="minorHAnsi" w:hAnsiTheme="minorHAnsi"/>
        </w:rPr>
        <w:t xml:space="preserve"> </w:t>
      </w:r>
      <w:r w:rsidR="00807031" w:rsidRPr="00096648">
        <w:rPr>
          <w:rFonts w:asciiTheme="minorHAnsi" w:hAnsiTheme="minorHAnsi"/>
          <w:i/>
        </w:rPr>
        <w:t>Mission Economy</w:t>
      </w:r>
      <w:r w:rsidR="00BF1B52">
        <w:rPr>
          <w:rStyle w:val="FootnoteReference"/>
          <w:rFonts w:asciiTheme="minorHAnsi" w:hAnsiTheme="minorHAnsi"/>
          <w:i/>
        </w:rPr>
        <w:footnoteReference w:id="5"/>
      </w:r>
      <w:r w:rsidR="0070039B" w:rsidRPr="00096648">
        <w:rPr>
          <w:rFonts w:asciiTheme="minorHAnsi" w:hAnsiTheme="minorHAnsi"/>
        </w:rPr>
        <w:t xml:space="preserve"> ‘grand challenges’ such as </w:t>
      </w:r>
      <w:r w:rsidR="0070039B" w:rsidRPr="00096648">
        <w:rPr>
          <w:rFonts w:asciiTheme="minorHAnsi" w:hAnsiTheme="minorHAnsi"/>
          <w:i/>
        </w:rPr>
        <w:t>Ageing Society</w:t>
      </w:r>
      <w:r w:rsidR="0070039B" w:rsidRPr="00096648">
        <w:rPr>
          <w:rFonts w:asciiTheme="minorHAnsi" w:hAnsiTheme="minorHAnsi"/>
        </w:rPr>
        <w:t xml:space="preserve"> can be divided into many different elements that would require integration of activity that involves several government departments and across a number of business sectors. Thus, of course it makes sense to integrate</w:t>
      </w:r>
      <w:r w:rsidR="00287E49" w:rsidRPr="00096648">
        <w:rPr>
          <w:rFonts w:asciiTheme="minorHAnsi" w:hAnsiTheme="minorHAnsi"/>
        </w:rPr>
        <w:t xml:space="preserve"> smaller targeted challenges. </w:t>
      </w:r>
    </w:p>
    <w:p w14:paraId="37D96698" w14:textId="77777777" w:rsidR="00807031" w:rsidRPr="00096648" w:rsidRDefault="00807031" w:rsidP="0033179E">
      <w:pPr>
        <w:jc w:val="both"/>
        <w:rPr>
          <w:rFonts w:asciiTheme="minorHAnsi" w:hAnsiTheme="minorHAnsi"/>
        </w:rPr>
      </w:pPr>
    </w:p>
    <w:p w14:paraId="381FB9A5" w14:textId="138E88E7" w:rsidR="00287E49" w:rsidRPr="00096648" w:rsidRDefault="00287E49" w:rsidP="0033179E">
      <w:pPr>
        <w:jc w:val="both"/>
        <w:rPr>
          <w:rFonts w:asciiTheme="minorHAnsi" w:hAnsiTheme="minorHAnsi"/>
        </w:rPr>
      </w:pPr>
      <w:r w:rsidRPr="00096648">
        <w:rPr>
          <w:rFonts w:asciiTheme="minorHAnsi" w:hAnsiTheme="minorHAnsi"/>
        </w:rPr>
        <w:t xml:space="preserve">Questions c and d in this section </w:t>
      </w:r>
      <w:r w:rsidR="00807031" w:rsidRPr="00096648">
        <w:rPr>
          <w:rFonts w:asciiTheme="minorHAnsi" w:hAnsiTheme="minorHAnsi"/>
        </w:rPr>
        <w:t>need to</w:t>
      </w:r>
      <w:r w:rsidR="00F82EFB" w:rsidRPr="00096648">
        <w:rPr>
          <w:rFonts w:asciiTheme="minorHAnsi" w:hAnsiTheme="minorHAnsi"/>
        </w:rPr>
        <w:t xml:space="preserve"> be</w:t>
      </w:r>
      <w:r w:rsidRPr="00096648">
        <w:rPr>
          <w:rFonts w:asciiTheme="minorHAnsi" w:hAnsiTheme="minorHAnsi"/>
        </w:rPr>
        <w:t xml:space="preserve"> framed </w:t>
      </w:r>
      <w:r w:rsidR="00807031" w:rsidRPr="00096648">
        <w:rPr>
          <w:rFonts w:asciiTheme="minorHAnsi" w:hAnsiTheme="minorHAnsi"/>
        </w:rPr>
        <w:t>differently</w:t>
      </w:r>
      <w:r w:rsidRPr="00096648">
        <w:rPr>
          <w:rFonts w:asciiTheme="minorHAnsi" w:hAnsiTheme="minorHAnsi"/>
        </w:rPr>
        <w:t xml:space="preserve">; </w:t>
      </w:r>
      <w:r w:rsidR="006F0144" w:rsidRPr="00096648">
        <w:rPr>
          <w:rFonts w:asciiTheme="minorHAnsi" w:hAnsiTheme="minorHAnsi"/>
        </w:rPr>
        <w:t xml:space="preserve">although </w:t>
      </w:r>
      <w:r w:rsidRPr="00096648">
        <w:rPr>
          <w:rFonts w:asciiTheme="minorHAnsi" w:hAnsiTheme="minorHAnsi"/>
        </w:rPr>
        <w:t xml:space="preserve">Australian researchers should </w:t>
      </w:r>
      <w:r w:rsidR="006F0144" w:rsidRPr="00096648">
        <w:rPr>
          <w:rFonts w:asciiTheme="minorHAnsi" w:hAnsiTheme="minorHAnsi"/>
        </w:rPr>
        <w:t>actively</w:t>
      </w:r>
      <w:r w:rsidRPr="00096648">
        <w:rPr>
          <w:rFonts w:asciiTheme="minorHAnsi" w:hAnsiTheme="minorHAnsi"/>
        </w:rPr>
        <w:t xml:space="preserve"> identify demand they should</w:t>
      </w:r>
      <w:r w:rsidR="006F0144" w:rsidRPr="00096648">
        <w:rPr>
          <w:rFonts w:asciiTheme="minorHAnsi" w:hAnsiTheme="minorHAnsi"/>
        </w:rPr>
        <w:t xml:space="preserve"> also</w:t>
      </w:r>
      <w:r w:rsidRPr="00096648">
        <w:rPr>
          <w:rFonts w:asciiTheme="minorHAnsi" w:hAnsiTheme="minorHAnsi"/>
        </w:rPr>
        <w:t xml:space="preserve"> be able innovate in response to grand challenge questions and to engage with industry to co-create solutions to these challenges.</w:t>
      </w:r>
      <w:r w:rsidR="00807031" w:rsidRPr="00096648">
        <w:rPr>
          <w:rFonts w:asciiTheme="minorHAnsi" w:hAnsiTheme="minorHAnsi"/>
        </w:rPr>
        <w:t xml:space="preserve"> </w:t>
      </w:r>
      <w:r w:rsidRPr="00096648">
        <w:rPr>
          <w:rFonts w:asciiTheme="minorHAnsi" w:hAnsiTheme="minorHAnsi"/>
        </w:rPr>
        <w:t xml:space="preserve">This requires much greater investment in structures and processes that promote </w:t>
      </w:r>
      <w:r w:rsidRPr="00096648">
        <w:rPr>
          <w:rFonts w:asciiTheme="minorHAnsi" w:hAnsiTheme="minorHAnsi"/>
          <w:i/>
        </w:rPr>
        <w:t>knowledge exchange and open innovation</w:t>
      </w:r>
      <w:r w:rsidRPr="00096648">
        <w:rPr>
          <w:rFonts w:asciiTheme="minorHAnsi" w:hAnsiTheme="minorHAnsi"/>
        </w:rPr>
        <w:t>. This has been a core mission of research councils within UK R</w:t>
      </w:r>
      <w:r w:rsidR="00F82EFB" w:rsidRPr="00096648">
        <w:rPr>
          <w:rFonts w:asciiTheme="minorHAnsi" w:hAnsiTheme="minorHAnsi"/>
        </w:rPr>
        <w:t>esearch</w:t>
      </w:r>
      <w:r w:rsidRPr="00096648">
        <w:rPr>
          <w:rFonts w:asciiTheme="minorHAnsi" w:hAnsiTheme="minorHAnsi"/>
        </w:rPr>
        <w:t xml:space="preserve"> &amp; I</w:t>
      </w:r>
      <w:r w:rsidR="00F82EFB" w:rsidRPr="00096648">
        <w:rPr>
          <w:rFonts w:asciiTheme="minorHAnsi" w:hAnsiTheme="minorHAnsi"/>
        </w:rPr>
        <w:t>nnovation</w:t>
      </w:r>
      <w:r w:rsidRPr="00096648">
        <w:rPr>
          <w:rFonts w:asciiTheme="minorHAnsi" w:hAnsiTheme="minorHAnsi"/>
        </w:rPr>
        <w:t xml:space="preserve"> </w:t>
      </w:r>
      <w:r w:rsidR="006F0144" w:rsidRPr="00096648">
        <w:rPr>
          <w:rFonts w:asciiTheme="minorHAnsi" w:hAnsiTheme="minorHAnsi"/>
        </w:rPr>
        <w:t xml:space="preserve">linked to agencies such as </w:t>
      </w:r>
      <w:r w:rsidR="006F0144" w:rsidRPr="00096648">
        <w:rPr>
          <w:rFonts w:asciiTheme="minorHAnsi" w:hAnsiTheme="minorHAnsi"/>
          <w:i/>
        </w:rPr>
        <w:t>Innovate UK</w:t>
      </w:r>
      <w:r w:rsidR="00BF1B52">
        <w:rPr>
          <w:rStyle w:val="FootnoteReference"/>
          <w:rFonts w:asciiTheme="minorHAnsi" w:hAnsiTheme="minorHAnsi"/>
          <w:i/>
        </w:rPr>
        <w:footnoteReference w:id="6"/>
      </w:r>
      <w:r w:rsidR="00770327" w:rsidRPr="00096648">
        <w:rPr>
          <w:rFonts w:asciiTheme="minorHAnsi" w:hAnsiTheme="minorHAnsi"/>
        </w:rPr>
        <w:t xml:space="preserve"> </w:t>
      </w:r>
      <w:r w:rsidRPr="00096648">
        <w:rPr>
          <w:rFonts w:asciiTheme="minorHAnsi" w:hAnsiTheme="minorHAnsi"/>
        </w:rPr>
        <w:t>and it is a pre-requisite for the success of the types of grand challenges discussed in this paper.</w:t>
      </w:r>
    </w:p>
    <w:p w14:paraId="0112AEBC" w14:textId="44C622A9" w:rsidR="00287E49" w:rsidRPr="00096648" w:rsidRDefault="00287E49" w:rsidP="0033179E">
      <w:pPr>
        <w:jc w:val="both"/>
        <w:rPr>
          <w:rFonts w:asciiTheme="minorHAnsi" w:hAnsiTheme="minorHAnsi"/>
        </w:rPr>
      </w:pPr>
    </w:p>
    <w:p w14:paraId="002C885D" w14:textId="6154FBF7" w:rsidR="00287E49" w:rsidRPr="00096648" w:rsidRDefault="00287E49" w:rsidP="0033179E">
      <w:pPr>
        <w:jc w:val="both"/>
        <w:rPr>
          <w:rFonts w:asciiTheme="minorHAnsi" w:hAnsiTheme="minorHAnsi"/>
          <w:b/>
        </w:rPr>
      </w:pPr>
      <w:r w:rsidRPr="00096648">
        <w:rPr>
          <w:rFonts w:asciiTheme="minorHAnsi" w:hAnsiTheme="minorHAnsi"/>
          <w:b/>
        </w:rPr>
        <w:t>2.</w:t>
      </w:r>
      <w:r w:rsidR="002838E9" w:rsidRPr="00096648">
        <w:rPr>
          <w:rFonts w:asciiTheme="minorHAnsi" w:hAnsiTheme="minorHAnsi"/>
          <w:b/>
        </w:rPr>
        <w:t xml:space="preserve"> &amp; 3</w:t>
      </w:r>
      <w:r w:rsidRPr="00096648">
        <w:rPr>
          <w:rFonts w:asciiTheme="minorHAnsi" w:hAnsiTheme="minorHAnsi"/>
          <w:b/>
        </w:rPr>
        <w:t xml:space="preserve"> Stage gated schemes</w:t>
      </w:r>
      <w:r w:rsidR="002838E9" w:rsidRPr="00096648">
        <w:rPr>
          <w:rFonts w:asciiTheme="minorHAnsi" w:hAnsiTheme="minorHAnsi"/>
          <w:b/>
        </w:rPr>
        <w:t xml:space="preserve"> and Incentives for Participation</w:t>
      </w:r>
    </w:p>
    <w:p w14:paraId="0EDB4817" w14:textId="1F2254A9" w:rsidR="002838E9" w:rsidRPr="00096648" w:rsidRDefault="00287E49" w:rsidP="00300161">
      <w:pPr>
        <w:jc w:val="both"/>
        <w:rPr>
          <w:rFonts w:asciiTheme="minorHAnsi" w:hAnsiTheme="minorHAnsi"/>
        </w:rPr>
      </w:pPr>
      <w:r w:rsidRPr="00096648">
        <w:rPr>
          <w:rFonts w:asciiTheme="minorHAnsi" w:hAnsiTheme="minorHAnsi"/>
        </w:rPr>
        <w:t>The ACGR</w:t>
      </w:r>
      <w:r w:rsidR="00300161" w:rsidRPr="00096648">
        <w:rPr>
          <w:rFonts w:asciiTheme="minorHAnsi" w:hAnsiTheme="minorHAnsi"/>
        </w:rPr>
        <w:t xml:space="preserve"> is pleased to note the acceptance of the critical role</w:t>
      </w:r>
      <w:r w:rsidRPr="00096648">
        <w:rPr>
          <w:rFonts w:asciiTheme="minorHAnsi" w:hAnsiTheme="minorHAnsi"/>
        </w:rPr>
        <w:t xml:space="preserve"> </w:t>
      </w:r>
      <w:r w:rsidR="00300161" w:rsidRPr="00096648">
        <w:rPr>
          <w:rFonts w:asciiTheme="minorHAnsi" w:hAnsiTheme="minorHAnsi"/>
        </w:rPr>
        <w:t xml:space="preserve">government rather than private sector as a </w:t>
      </w:r>
      <w:proofErr w:type="gramStart"/>
      <w:r w:rsidR="00300161" w:rsidRPr="00096648">
        <w:rPr>
          <w:rFonts w:asciiTheme="minorHAnsi" w:hAnsiTheme="minorHAnsi"/>
        </w:rPr>
        <w:t>high risk</w:t>
      </w:r>
      <w:proofErr w:type="gramEnd"/>
      <w:r w:rsidR="00300161" w:rsidRPr="00096648">
        <w:rPr>
          <w:rFonts w:asciiTheme="minorHAnsi" w:hAnsiTheme="minorHAnsi"/>
        </w:rPr>
        <w:t xml:space="preserve"> investor, especially in navigating the so-called </w:t>
      </w:r>
      <w:r w:rsidR="00807031" w:rsidRPr="00096648">
        <w:rPr>
          <w:rFonts w:asciiTheme="minorHAnsi" w:hAnsiTheme="minorHAnsi"/>
        </w:rPr>
        <w:t>‘</w:t>
      </w:r>
      <w:r w:rsidR="00300161" w:rsidRPr="00096648">
        <w:rPr>
          <w:rFonts w:asciiTheme="minorHAnsi" w:hAnsiTheme="minorHAnsi"/>
        </w:rPr>
        <w:t>valley of death</w:t>
      </w:r>
      <w:r w:rsidR="00807031" w:rsidRPr="00096648">
        <w:rPr>
          <w:rFonts w:asciiTheme="minorHAnsi" w:hAnsiTheme="minorHAnsi"/>
        </w:rPr>
        <w:t>’</w:t>
      </w:r>
      <w:r w:rsidR="00300161" w:rsidRPr="00096648">
        <w:rPr>
          <w:rFonts w:asciiTheme="minorHAnsi" w:hAnsiTheme="minorHAnsi"/>
        </w:rPr>
        <w:t xml:space="preserve"> in </w:t>
      </w:r>
      <w:r w:rsidR="00300161" w:rsidRPr="00096648">
        <w:rPr>
          <w:rFonts w:asciiTheme="minorHAnsi" w:hAnsiTheme="minorHAnsi"/>
        </w:rPr>
        <w:lastRenderedPageBreak/>
        <w:t>commercialisation</w:t>
      </w:r>
      <w:r w:rsidR="00807031" w:rsidRPr="00096648">
        <w:rPr>
          <w:rFonts w:asciiTheme="minorHAnsi" w:hAnsiTheme="minorHAnsi"/>
        </w:rPr>
        <w:t xml:space="preserve"> (associated with TRL 3-4)</w:t>
      </w:r>
      <w:r w:rsidR="00300161" w:rsidRPr="00096648">
        <w:rPr>
          <w:rFonts w:asciiTheme="minorHAnsi" w:hAnsiTheme="minorHAnsi"/>
        </w:rPr>
        <w:t>. It follow</w:t>
      </w:r>
      <w:r w:rsidR="00804842" w:rsidRPr="00096648">
        <w:rPr>
          <w:rFonts w:asciiTheme="minorHAnsi" w:hAnsiTheme="minorHAnsi"/>
        </w:rPr>
        <w:t>s</w:t>
      </w:r>
      <w:r w:rsidR="00300161" w:rsidRPr="00096648">
        <w:rPr>
          <w:rFonts w:asciiTheme="minorHAnsi" w:hAnsiTheme="minorHAnsi"/>
        </w:rPr>
        <w:t xml:space="preserve"> we need to restore the idea that government is not just a ‘facilitator’ </w:t>
      </w:r>
      <w:proofErr w:type="gramStart"/>
      <w:r w:rsidR="00300161" w:rsidRPr="00096648">
        <w:rPr>
          <w:rFonts w:asciiTheme="minorHAnsi" w:hAnsiTheme="minorHAnsi"/>
        </w:rPr>
        <w:t>but</w:t>
      </w:r>
      <w:proofErr w:type="gramEnd"/>
      <w:r w:rsidR="00300161" w:rsidRPr="00096648">
        <w:rPr>
          <w:rFonts w:asciiTheme="minorHAnsi" w:hAnsiTheme="minorHAnsi"/>
        </w:rPr>
        <w:t xml:space="preserve"> that it can also pick winners (</w:t>
      </w:r>
      <w:r w:rsidR="00F82EFB" w:rsidRPr="00096648">
        <w:rPr>
          <w:rFonts w:asciiTheme="minorHAnsi" w:hAnsiTheme="minorHAnsi"/>
        </w:rPr>
        <w:t xml:space="preserve">and we have to accept that some </w:t>
      </w:r>
      <w:r w:rsidR="00300161" w:rsidRPr="00096648">
        <w:rPr>
          <w:rFonts w:asciiTheme="minorHAnsi" w:hAnsiTheme="minorHAnsi"/>
        </w:rPr>
        <w:t>will fail).</w:t>
      </w:r>
      <w:r w:rsidR="002838E9" w:rsidRPr="00096648">
        <w:rPr>
          <w:rFonts w:asciiTheme="minorHAnsi" w:hAnsiTheme="minorHAnsi"/>
        </w:rPr>
        <w:t xml:space="preserve"> With respect to private sector investment an overhaul of the R &amp; D tax credit scheme</w:t>
      </w:r>
      <w:r w:rsidR="00770327" w:rsidRPr="00096648">
        <w:rPr>
          <w:rFonts w:asciiTheme="minorHAnsi" w:hAnsiTheme="minorHAnsi"/>
          <w:vertAlign w:val="superscript"/>
        </w:rPr>
        <w:t>6</w:t>
      </w:r>
      <w:r w:rsidR="002838E9" w:rsidRPr="00096648">
        <w:rPr>
          <w:rFonts w:asciiTheme="minorHAnsi" w:hAnsiTheme="minorHAnsi"/>
        </w:rPr>
        <w:t xml:space="preserve"> is long overdue</w:t>
      </w:r>
      <w:r w:rsidR="00F82EFB" w:rsidRPr="00096648">
        <w:rPr>
          <w:rFonts w:asciiTheme="minorHAnsi" w:hAnsiTheme="minorHAnsi"/>
        </w:rPr>
        <w:t>. T</w:t>
      </w:r>
      <w:r w:rsidR="002838E9" w:rsidRPr="00096648">
        <w:rPr>
          <w:rFonts w:asciiTheme="minorHAnsi" w:hAnsiTheme="minorHAnsi"/>
        </w:rPr>
        <w:t>he government should use this scheme to drive investment and eliminate tax credit</w:t>
      </w:r>
      <w:r w:rsidR="00807031" w:rsidRPr="00096648">
        <w:rPr>
          <w:rFonts w:asciiTheme="minorHAnsi" w:hAnsiTheme="minorHAnsi"/>
        </w:rPr>
        <w:t>s</w:t>
      </w:r>
      <w:r w:rsidR="002838E9" w:rsidRPr="00096648">
        <w:rPr>
          <w:rFonts w:asciiTheme="minorHAnsi" w:hAnsiTheme="minorHAnsi"/>
        </w:rPr>
        <w:t xml:space="preserve"> for expenditure where no ‘</w:t>
      </w:r>
      <w:r w:rsidR="002838E9" w:rsidRPr="00096648">
        <w:rPr>
          <w:rFonts w:asciiTheme="minorHAnsi" w:hAnsiTheme="minorHAnsi"/>
          <w:i/>
        </w:rPr>
        <w:t>additionality</w:t>
      </w:r>
      <w:r w:rsidR="002838E9" w:rsidRPr="00096648">
        <w:rPr>
          <w:rFonts w:asciiTheme="minorHAnsi" w:hAnsiTheme="minorHAnsi"/>
        </w:rPr>
        <w:t>’ is obvious.</w:t>
      </w:r>
    </w:p>
    <w:p w14:paraId="564BD2B4" w14:textId="35DF22C6" w:rsidR="002838E9" w:rsidRPr="00096648" w:rsidRDefault="002838E9" w:rsidP="00300161">
      <w:pPr>
        <w:jc w:val="both"/>
        <w:rPr>
          <w:rFonts w:asciiTheme="minorHAnsi" w:hAnsiTheme="minorHAnsi"/>
        </w:rPr>
      </w:pPr>
    </w:p>
    <w:p w14:paraId="06665899" w14:textId="23FA9772" w:rsidR="002838E9" w:rsidRPr="00096648" w:rsidRDefault="002838E9" w:rsidP="00300161">
      <w:pPr>
        <w:jc w:val="both"/>
        <w:rPr>
          <w:rFonts w:asciiTheme="minorHAnsi" w:hAnsiTheme="minorHAnsi"/>
          <w:b/>
        </w:rPr>
      </w:pPr>
      <w:r w:rsidRPr="00096648">
        <w:rPr>
          <w:rFonts w:asciiTheme="minorHAnsi" w:hAnsiTheme="minorHAnsi"/>
          <w:b/>
        </w:rPr>
        <w:t>4. Industry-university collaboration</w:t>
      </w:r>
    </w:p>
    <w:p w14:paraId="3AEC13E2" w14:textId="4C22987B" w:rsidR="00805E7B" w:rsidRPr="00096648" w:rsidRDefault="00FF3B65" w:rsidP="00300161">
      <w:pPr>
        <w:jc w:val="both"/>
        <w:rPr>
          <w:rFonts w:asciiTheme="minorHAnsi" w:hAnsiTheme="minorHAnsi"/>
        </w:rPr>
      </w:pPr>
      <w:r w:rsidRPr="00096648">
        <w:rPr>
          <w:rFonts w:asciiTheme="minorHAnsi" w:hAnsiTheme="minorHAnsi"/>
        </w:rPr>
        <w:t xml:space="preserve">It is ACGR’s view that </w:t>
      </w:r>
      <w:r w:rsidR="00770327" w:rsidRPr="00096648">
        <w:rPr>
          <w:rFonts w:asciiTheme="minorHAnsi" w:hAnsiTheme="minorHAnsi"/>
        </w:rPr>
        <w:t>some adjustments to</w:t>
      </w:r>
      <w:r w:rsidRPr="00096648">
        <w:rPr>
          <w:rFonts w:asciiTheme="minorHAnsi" w:hAnsiTheme="minorHAnsi"/>
        </w:rPr>
        <w:t xml:space="preserve"> government agenc</w:t>
      </w:r>
      <w:r w:rsidR="00770327" w:rsidRPr="00096648">
        <w:rPr>
          <w:rFonts w:asciiTheme="minorHAnsi" w:hAnsiTheme="minorHAnsi"/>
        </w:rPr>
        <w:t>ies</w:t>
      </w:r>
      <w:r w:rsidRPr="00096648">
        <w:rPr>
          <w:rFonts w:asciiTheme="minorHAnsi" w:hAnsiTheme="minorHAnsi"/>
        </w:rPr>
        <w:t xml:space="preserve"> </w:t>
      </w:r>
      <w:r w:rsidR="00770327" w:rsidRPr="00096648">
        <w:rPr>
          <w:rFonts w:asciiTheme="minorHAnsi" w:hAnsiTheme="minorHAnsi"/>
        </w:rPr>
        <w:t>are required</w:t>
      </w:r>
      <w:r w:rsidRPr="00096648">
        <w:rPr>
          <w:rFonts w:asciiTheme="minorHAnsi" w:hAnsiTheme="minorHAnsi"/>
        </w:rPr>
        <w:t xml:space="preserve"> to drive the types of Industry-University collaboration envisaged in this paper. Although the Australian Research Council has funding schemes aligned towards Industry funding (Linkage, Industrial Transformation Programs) it remains a </w:t>
      </w:r>
      <w:proofErr w:type="gramStart"/>
      <w:r w:rsidRPr="00096648">
        <w:rPr>
          <w:rFonts w:asciiTheme="minorHAnsi" w:hAnsiTheme="minorHAnsi"/>
        </w:rPr>
        <w:t xml:space="preserve">grant </w:t>
      </w:r>
      <w:r w:rsidR="005B6530" w:rsidRPr="00096648">
        <w:rPr>
          <w:rFonts w:asciiTheme="minorHAnsi" w:hAnsiTheme="minorHAnsi"/>
        </w:rPr>
        <w:t>awarding</w:t>
      </w:r>
      <w:proofErr w:type="gramEnd"/>
      <w:r w:rsidRPr="00096648">
        <w:rPr>
          <w:rFonts w:asciiTheme="minorHAnsi" w:hAnsiTheme="minorHAnsi"/>
        </w:rPr>
        <w:t xml:space="preserve"> agency and lacks the capacity to drive industry-university knowledge exchange and collaboration as seen in U.K.</w:t>
      </w:r>
      <w:r w:rsidR="00F82EFB" w:rsidRPr="00096648">
        <w:rPr>
          <w:rFonts w:asciiTheme="minorHAnsi" w:hAnsiTheme="minorHAnsi"/>
        </w:rPr>
        <w:t xml:space="preserve"> R &amp; I</w:t>
      </w:r>
      <w:r w:rsidRPr="00096648">
        <w:rPr>
          <w:rFonts w:asciiTheme="minorHAnsi" w:hAnsiTheme="minorHAnsi"/>
        </w:rPr>
        <w:t xml:space="preserve">, for example. </w:t>
      </w:r>
      <w:r w:rsidR="00AB3039" w:rsidRPr="00096648">
        <w:rPr>
          <w:rFonts w:asciiTheme="minorHAnsi" w:hAnsiTheme="minorHAnsi"/>
        </w:rPr>
        <w:t>The potential importance of the CSIRO in the context of University Research Commercialisation should not be overlooked and it would be beneficial to consider the role that this and other Publicly Funded Research Agencies (PFRAs) would play in industry-university schemes. The UK Catapult Network is identified as a particularly successful initiative but it needs to be noted that this network is managed by the not-for-profit Innovate UK</w:t>
      </w:r>
      <w:r w:rsidR="00BC59A7" w:rsidRPr="00096648">
        <w:rPr>
          <w:rFonts w:asciiTheme="minorHAnsi" w:hAnsiTheme="minorHAnsi"/>
          <w:vertAlign w:val="superscript"/>
        </w:rPr>
        <w:t>5</w:t>
      </w:r>
      <w:r w:rsidR="00AB3039" w:rsidRPr="00096648">
        <w:rPr>
          <w:rFonts w:asciiTheme="minorHAnsi" w:hAnsiTheme="minorHAnsi"/>
        </w:rPr>
        <w:t xml:space="preserve"> with strong interaction with UK R &amp; I. Together these agencies enable Industry</w:t>
      </w:r>
      <w:r w:rsidR="00805E7B" w:rsidRPr="00096648">
        <w:rPr>
          <w:rFonts w:asciiTheme="minorHAnsi" w:hAnsiTheme="minorHAnsi"/>
        </w:rPr>
        <w:t>, PFRAs</w:t>
      </w:r>
      <w:r w:rsidR="00AB3039" w:rsidRPr="00096648">
        <w:rPr>
          <w:rFonts w:asciiTheme="minorHAnsi" w:hAnsiTheme="minorHAnsi"/>
        </w:rPr>
        <w:t xml:space="preserve"> and Universities to span the TRL levels. </w:t>
      </w:r>
      <w:r w:rsidR="00F82EFB" w:rsidRPr="00096648">
        <w:rPr>
          <w:rFonts w:asciiTheme="minorHAnsi" w:hAnsiTheme="minorHAnsi"/>
        </w:rPr>
        <w:t>ACGR believes that the government</w:t>
      </w:r>
      <w:r w:rsidR="00805E7B" w:rsidRPr="00096648">
        <w:rPr>
          <w:rFonts w:asciiTheme="minorHAnsi" w:hAnsiTheme="minorHAnsi"/>
        </w:rPr>
        <w:t xml:space="preserve"> should</w:t>
      </w:r>
      <w:r w:rsidR="00F82EFB" w:rsidRPr="00096648">
        <w:rPr>
          <w:rFonts w:asciiTheme="minorHAnsi" w:hAnsiTheme="minorHAnsi"/>
        </w:rPr>
        <w:t xml:space="preserve"> be ambitious and </w:t>
      </w:r>
      <w:r w:rsidR="00805E7B" w:rsidRPr="00096648">
        <w:rPr>
          <w:rFonts w:asciiTheme="minorHAnsi" w:hAnsiTheme="minorHAnsi"/>
        </w:rPr>
        <w:t>overhaul and invest in the ARC</w:t>
      </w:r>
      <w:r w:rsidR="00F82EFB" w:rsidRPr="00096648">
        <w:rPr>
          <w:rFonts w:asciiTheme="minorHAnsi" w:hAnsiTheme="minorHAnsi"/>
        </w:rPr>
        <w:t xml:space="preserve"> in order</w:t>
      </w:r>
      <w:r w:rsidR="00805E7B" w:rsidRPr="00096648">
        <w:rPr>
          <w:rFonts w:asciiTheme="minorHAnsi" w:hAnsiTheme="minorHAnsi"/>
        </w:rPr>
        <w:t xml:space="preserve"> to build knowledge exchange capability</w:t>
      </w:r>
      <w:r w:rsidR="00F82EFB" w:rsidRPr="00096648">
        <w:rPr>
          <w:rFonts w:asciiTheme="minorHAnsi" w:hAnsiTheme="minorHAnsi"/>
        </w:rPr>
        <w:t>,</w:t>
      </w:r>
      <w:r w:rsidR="00805E7B" w:rsidRPr="00096648">
        <w:rPr>
          <w:rFonts w:asciiTheme="minorHAnsi" w:hAnsiTheme="minorHAnsi"/>
        </w:rPr>
        <w:t xml:space="preserve"> and work with the DISER and other key departments to develop a new agency that can fulfil a role similar to that of Innovate UK. This would need to be configured to fit Australian conditions</w:t>
      </w:r>
      <w:proofErr w:type="gramStart"/>
      <w:r w:rsidR="00805E7B" w:rsidRPr="00096648">
        <w:rPr>
          <w:rFonts w:asciiTheme="minorHAnsi" w:hAnsiTheme="minorHAnsi"/>
        </w:rPr>
        <w:t>;</w:t>
      </w:r>
      <w:proofErr w:type="gramEnd"/>
      <w:r w:rsidR="00805E7B" w:rsidRPr="00096648">
        <w:rPr>
          <w:rFonts w:asciiTheme="minorHAnsi" w:hAnsiTheme="minorHAnsi"/>
        </w:rPr>
        <w:t xml:space="preserve"> a strong connection to State Governments in the development of growth centres and involvement of CSIRO and other DISER agencies.</w:t>
      </w:r>
    </w:p>
    <w:p w14:paraId="01A5A70D" w14:textId="0EDD3DE8" w:rsidR="00805E7B" w:rsidRPr="00096648" w:rsidRDefault="00805E7B" w:rsidP="00300161">
      <w:pPr>
        <w:jc w:val="both"/>
        <w:rPr>
          <w:rFonts w:asciiTheme="minorHAnsi" w:hAnsiTheme="minorHAnsi"/>
        </w:rPr>
      </w:pPr>
    </w:p>
    <w:p w14:paraId="02F1F7D7" w14:textId="24FF94E9" w:rsidR="00140C25" w:rsidRPr="00096648" w:rsidRDefault="00805E7B" w:rsidP="00300161">
      <w:pPr>
        <w:jc w:val="both"/>
        <w:rPr>
          <w:rFonts w:asciiTheme="minorHAnsi" w:hAnsiTheme="minorHAnsi"/>
        </w:rPr>
      </w:pPr>
      <w:r w:rsidRPr="00096648">
        <w:rPr>
          <w:rFonts w:asciiTheme="minorHAnsi" w:hAnsiTheme="minorHAnsi"/>
        </w:rPr>
        <w:t>Before answering the question of whether an Industry PhD program would help improve Industry-University collaboration it is important to consider the purpose of an Industry PhD.</w:t>
      </w:r>
      <w:r w:rsidR="006171A2" w:rsidRPr="00096648">
        <w:rPr>
          <w:rFonts w:asciiTheme="minorHAnsi" w:hAnsiTheme="minorHAnsi"/>
        </w:rPr>
        <w:t xml:space="preserve"> If the Industry PhD was aimed a</w:t>
      </w:r>
      <w:r w:rsidR="0038085F" w:rsidRPr="00096648">
        <w:rPr>
          <w:rFonts w:asciiTheme="minorHAnsi" w:hAnsiTheme="minorHAnsi"/>
        </w:rPr>
        <w:t>t</w:t>
      </w:r>
      <w:r w:rsidR="006171A2" w:rsidRPr="00096648">
        <w:rPr>
          <w:rFonts w:asciiTheme="minorHAnsi" w:hAnsiTheme="minorHAnsi"/>
        </w:rPr>
        <w:t xml:space="preserve"> increasing the number of graduate researchers </w:t>
      </w:r>
      <w:r w:rsidR="00EF449B" w:rsidRPr="00096648">
        <w:rPr>
          <w:rFonts w:asciiTheme="minorHAnsi" w:hAnsiTheme="minorHAnsi"/>
        </w:rPr>
        <w:t>focussing</w:t>
      </w:r>
      <w:r w:rsidR="006171A2" w:rsidRPr="00096648">
        <w:rPr>
          <w:rFonts w:asciiTheme="minorHAnsi" w:hAnsiTheme="minorHAnsi"/>
        </w:rPr>
        <w:t xml:space="preserve"> on Industry problems beyond applied research (TRL3 and above) then answer is </w:t>
      </w:r>
      <w:r w:rsidR="00EF449B" w:rsidRPr="00096648">
        <w:rPr>
          <w:rFonts w:asciiTheme="minorHAnsi" w:hAnsiTheme="minorHAnsi"/>
        </w:rPr>
        <w:t>that this may</w:t>
      </w:r>
      <w:r w:rsidR="00AE1AC9" w:rsidRPr="00096648">
        <w:rPr>
          <w:rFonts w:asciiTheme="minorHAnsi" w:hAnsiTheme="minorHAnsi"/>
        </w:rPr>
        <w:t xml:space="preserve"> not be a good strategy</w:t>
      </w:r>
      <w:r w:rsidR="006171A2" w:rsidRPr="00096648">
        <w:rPr>
          <w:rFonts w:asciiTheme="minorHAnsi" w:hAnsiTheme="minorHAnsi"/>
        </w:rPr>
        <w:t>. Working on Industry problems often involves meeting milestones on projects with attendant go-no-go, delivery of collateral benefits to businesses that ought to be performed by employees, rather than students on tax-free scholarships</w:t>
      </w:r>
      <w:r w:rsidR="00AE1AC9" w:rsidRPr="00096648">
        <w:rPr>
          <w:rFonts w:asciiTheme="minorHAnsi" w:hAnsiTheme="minorHAnsi"/>
        </w:rPr>
        <w:t xml:space="preserve"> supporting their </w:t>
      </w:r>
      <w:r w:rsidR="00BC59A7" w:rsidRPr="00096648">
        <w:rPr>
          <w:rFonts w:asciiTheme="minorHAnsi" w:hAnsiTheme="minorHAnsi"/>
        </w:rPr>
        <w:t>research training</w:t>
      </w:r>
      <w:r w:rsidR="006171A2" w:rsidRPr="00096648">
        <w:rPr>
          <w:rFonts w:asciiTheme="minorHAnsi" w:hAnsiTheme="minorHAnsi"/>
        </w:rPr>
        <w:t xml:space="preserve">. As </w:t>
      </w:r>
      <w:r w:rsidR="006171A2" w:rsidRPr="00096648">
        <w:rPr>
          <w:rFonts w:asciiTheme="minorHAnsi" w:hAnsiTheme="minorHAnsi"/>
          <w:i/>
        </w:rPr>
        <w:t>developing</w:t>
      </w:r>
      <w:r w:rsidR="006171A2" w:rsidRPr="00096648">
        <w:rPr>
          <w:rFonts w:asciiTheme="minorHAnsi" w:hAnsiTheme="minorHAnsi"/>
        </w:rPr>
        <w:t xml:space="preserve"> early career researchers it is important that PhD students continue to work on more open-ended Discovery (Basic) and Applied research</w:t>
      </w:r>
      <w:r w:rsidR="0038085F" w:rsidRPr="00096648">
        <w:rPr>
          <w:rFonts w:asciiTheme="minorHAnsi" w:hAnsiTheme="minorHAnsi"/>
        </w:rPr>
        <w:t xml:space="preserve"> (</w:t>
      </w:r>
      <w:r w:rsidR="006171A2" w:rsidRPr="00096648">
        <w:rPr>
          <w:rFonts w:asciiTheme="minorHAnsi" w:hAnsiTheme="minorHAnsi"/>
        </w:rPr>
        <w:t>TRLs</w:t>
      </w:r>
      <w:r w:rsidR="0038085F" w:rsidRPr="00096648">
        <w:rPr>
          <w:rFonts w:asciiTheme="minorHAnsi" w:hAnsiTheme="minorHAnsi"/>
        </w:rPr>
        <w:t xml:space="preserve"> 1-2)</w:t>
      </w:r>
      <w:r w:rsidR="006171A2" w:rsidRPr="00096648">
        <w:rPr>
          <w:rFonts w:asciiTheme="minorHAnsi" w:hAnsiTheme="minorHAnsi"/>
        </w:rPr>
        <w:t xml:space="preserve">. However, exposure of </w:t>
      </w:r>
      <w:r w:rsidR="00BC59A7" w:rsidRPr="00096648">
        <w:rPr>
          <w:rFonts w:asciiTheme="minorHAnsi" w:hAnsiTheme="minorHAnsi"/>
        </w:rPr>
        <w:t xml:space="preserve">these </w:t>
      </w:r>
      <w:r w:rsidR="006171A2" w:rsidRPr="00096648">
        <w:rPr>
          <w:rFonts w:asciiTheme="minorHAnsi" w:hAnsiTheme="minorHAnsi"/>
        </w:rPr>
        <w:t xml:space="preserve">graduate researchers to </w:t>
      </w:r>
      <w:r w:rsidR="00140C25" w:rsidRPr="00096648">
        <w:rPr>
          <w:rFonts w:asciiTheme="minorHAnsi" w:hAnsiTheme="minorHAnsi"/>
        </w:rPr>
        <w:t>later stages of technological readiness through internships/placements</w:t>
      </w:r>
      <w:r w:rsidR="00AE1AC9" w:rsidRPr="00096648">
        <w:rPr>
          <w:rFonts w:asciiTheme="minorHAnsi" w:hAnsiTheme="minorHAnsi"/>
        </w:rPr>
        <w:t xml:space="preserve"> </w:t>
      </w:r>
      <w:r w:rsidR="00140C25" w:rsidRPr="00096648">
        <w:rPr>
          <w:rFonts w:asciiTheme="minorHAnsi" w:hAnsiTheme="minorHAnsi"/>
        </w:rPr>
        <w:t>with businesses</w:t>
      </w:r>
      <w:r w:rsidR="00AE1AC9" w:rsidRPr="00096648">
        <w:rPr>
          <w:rFonts w:asciiTheme="minorHAnsi" w:hAnsiTheme="minorHAnsi"/>
        </w:rPr>
        <w:t xml:space="preserve"> (such as those offered via the Australian Postgraduate Internship scheme</w:t>
      </w:r>
      <w:r w:rsidR="00246801" w:rsidRPr="00096648">
        <w:rPr>
          <w:rFonts w:asciiTheme="minorHAnsi" w:hAnsiTheme="minorHAnsi"/>
        </w:rPr>
        <w:t xml:space="preserve"> but also in Industry-sponsored PhDs</w:t>
      </w:r>
      <w:r w:rsidR="00AE1AC9" w:rsidRPr="00096648">
        <w:rPr>
          <w:rFonts w:asciiTheme="minorHAnsi" w:hAnsiTheme="minorHAnsi"/>
        </w:rPr>
        <w:t xml:space="preserve">) </w:t>
      </w:r>
      <w:r w:rsidR="00140C25" w:rsidRPr="00096648">
        <w:rPr>
          <w:rFonts w:asciiTheme="minorHAnsi" w:hAnsiTheme="minorHAnsi"/>
        </w:rPr>
        <w:t>would be excellent for the development a future workforce that could drive the sort of research commercialisation envisaged in this paper. Thus, ACGR believes that incentives to employ researchers</w:t>
      </w:r>
      <w:r w:rsidR="00246801" w:rsidRPr="00096648">
        <w:rPr>
          <w:rFonts w:asciiTheme="minorHAnsi" w:hAnsiTheme="minorHAnsi"/>
        </w:rPr>
        <w:t xml:space="preserve"> (post-PhD)</w:t>
      </w:r>
      <w:r w:rsidR="00140C25" w:rsidRPr="00096648">
        <w:rPr>
          <w:rFonts w:asciiTheme="minorHAnsi" w:hAnsiTheme="minorHAnsi"/>
        </w:rPr>
        <w:t xml:space="preserve"> (such as a revised R &amp; D tax credit system</w:t>
      </w:r>
      <w:r w:rsidR="00BF1B52">
        <w:rPr>
          <w:rStyle w:val="FootnoteReference"/>
          <w:rFonts w:asciiTheme="minorHAnsi" w:hAnsiTheme="minorHAnsi"/>
        </w:rPr>
        <w:footnoteReference w:id="7"/>
      </w:r>
      <w:r w:rsidR="00140C25" w:rsidRPr="00096648">
        <w:rPr>
          <w:rFonts w:asciiTheme="minorHAnsi" w:hAnsiTheme="minorHAnsi"/>
        </w:rPr>
        <w:t>) and</w:t>
      </w:r>
      <w:r w:rsidR="00BC59A7" w:rsidRPr="00096648">
        <w:rPr>
          <w:rFonts w:asciiTheme="minorHAnsi" w:hAnsiTheme="minorHAnsi"/>
        </w:rPr>
        <w:t xml:space="preserve"> investment in</w:t>
      </w:r>
      <w:r w:rsidR="00140C25" w:rsidRPr="00096648">
        <w:rPr>
          <w:rFonts w:asciiTheme="minorHAnsi" w:hAnsiTheme="minorHAnsi"/>
        </w:rPr>
        <w:t xml:space="preserve"> a program</w:t>
      </w:r>
      <w:r w:rsidR="00AE1AC9" w:rsidRPr="00096648">
        <w:rPr>
          <w:rFonts w:asciiTheme="minorHAnsi" w:hAnsiTheme="minorHAnsi"/>
        </w:rPr>
        <w:t xml:space="preserve"> </w:t>
      </w:r>
      <w:r w:rsidR="00140C25" w:rsidRPr="00096648">
        <w:rPr>
          <w:rFonts w:asciiTheme="minorHAnsi" w:hAnsiTheme="minorHAnsi"/>
        </w:rPr>
        <w:t>along the lines of the Catapult Network would be transformational for Australia</w:t>
      </w:r>
      <w:r w:rsidR="00BC59A7" w:rsidRPr="00096648">
        <w:rPr>
          <w:rFonts w:asciiTheme="minorHAnsi" w:hAnsiTheme="minorHAnsi"/>
        </w:rPr>
        <w:t>n University-Business collaboration</w:t>
      </w:r>
      <w:r w:rsidR="00140C25" w:rsidRPr="00096648">
        <w:rPr>
          <w:rFonts w:asciiTheme="minorHAnsi" w:hAnsiTheme="minorHAnsi"/>
        </w:rPr>
        <w:t>.</w:t>
      </w:r>
    </w:p>
    <w:p w14:paraId="2D9CD3DE" w14:textId="7478C363" w:rsidR="00140C25" w:rsidRPr="00096648" w:rsidRDefault="00140C25" w:rsidP="00300161">
      <w:pPr>
        <w:jc w:val="both"/>
        <w:rPr>
          <w:rFonts w:asciiTheme="minorHAnsi" w:hAnsiTheme="minorHAnsi"/>
        </w:rPr>
      </w:pPr>
    </w:p>
    <w:p w14:paraId="02AE5F69" w14:textId="77777777" w:rsidR="002E36A9" w:rsidRDefault="002E36A9" w:rsidP="00300161">
      <w:pPr>
        <w:jc w:val="both"/>
        <w:rPr>
          <w:rFonts w:asciiTheme="minorHAnsi" w:hAnsiTheme="minorHAnsi"/>
          <w:b/>
        </w:rPr>
      </w:pPr>
    </w:p>
    <w:p w14:paraId="57ECA1B4" w14:textId="0A9A2756" w:rsidR="00140C25" w:rsidRPr="00096648" w:rsidRDefault="00777590" w:rsidP="00300161">
      <w:pPr>
        <w:jc w:val="both"/>
        <w:rPr>
          <w:rFonts w:asciiTheme="minorHAnsi" w:hAnsiTheme="minorHAnsi"/>
          <w:b/>
        </w:rPr>
      </w:pPr>
      <w:r w:rsidRPr="00096648">
        <w:rPr>
          <w:rFonts w:asciiTheme="minorHAnsi" w:hAnsiTheme="minorHAnsi"/>
          <w:b/>
        </w:rPr>
        <w:lastRenderedPageBreak/>
        <w:t>Governance Arrangements</w:t>
      </w:r>
    </w:p>
    <w:p w14:paraId="6552D721" w14:textId="33E84A30" w:rsidR="00BC59A7" w:rsidRPr="00096648" w:rsidRDefault="00777590" w:rsidP="00300161">
      <w:pPr>
        <w:jc w:val="both"/>
        <w:rPr>
          <w:rFonts w:asciiTheme="minorHAnsi" w:hAnsiTheme="minorHAnsi"/>
        </w:rPr>
      </w:pPr>
      <w:r w:rsidRPr="00096648">
        <w:rPr>
          <w:rFonts w:asciiTheme="minorHAnsi" w:hAnsiTheme="minorHAnsi"/>
        </w:rPr>
        <w:t>We have already indicated that transformation of current agencies would be required to drive the changes envisaged by the government. This will require much greater investment from government and</w:t>
      </w:r>
      <w:r w:rsidR="0038085F" w:rsidRPr="00096648">
        <w:rPr>
          <w:rFonts w:asciiTheme="minorHAnsi" w:hAnsiTheme="minorHAnsi"/>
        </w:rPr>
        <w:t>,</w:t>
      </w:r>
      <w:r w:rsidRPr="00096648">
        <w:rPr>
          <w:rFonts w:asciiTheme="minorHAnsi" w:hAnsiTheme="minorHAnsi"/>
        </w:rPr>
        <w:t xml:space="preserve"> as observed earlier</w:t>
      </w:r>
      <w:r w:rsidR="0038085F" w:rsidRPr="00096648">
        <w:rPr>
          <w:rFonts w:asciiTheme="minorHAnsi" w:hAnsiTheme="minorHAnsi"/>
        </w:rPr>
        <w:t>,</w:t>
      </w:r>
      <w:r w:rsidRPr="00096648">
        <w:rPr>
          <w:rFonts w:asciiTheme="minorHAnsi" w:hAnsiTheme="minorHAnsi"/>
        </w:rPr>
        <w:t xml:space="preserve"> government can help drive private sector involvement by taking on the risk in the early stages of technological development.</w:t>
      </w:r>
    </w:p>
    <w:p w14:paraId="1D9F01C0" w14:textId="799BEBEF" w:rsidR="002838E9" w:rsidRPr="00096648" w:rsidRDefault="00777590" w:rsidP="00300161">
      <w:pPr>
        <w:jc w:val="both"/>
        <w:rPr>
          <w:rFonts w:asciiTheme="minorHAnsi" w:hAnsiTheme="minorHAnsi"/>
        </w:rPr>
      </w:pPr>
      <w:r w:rsidRPr="00096648">
        <w:rPr>
          <w:rFonts w:asciiTheme="minorHAnsi" w:hAnsiTheme="minorHAnsi"/>
        </w:rPr>
        <w:t>The ACGR would be very pleased to engage with DESE and other stakeholders to help develop the next stages of the model for university industry research commercialisation</w:t>
      </w:r>
      <w:r w:rsidR="00AE1AC9" w:rsidRPr="00096648">
        <w:rPr>
          <w:rFonts w:asciiTheme="minorHAnsi" w:hAnsiTheme="minorHAnsi"/>
        </w:rPr>
        <w:t>, especially the design of an Industry PhD</w:t>
      </w:r>
      <w:r w:rsidRPr="00096648">
        <w:rPr>
          <w:rFonts w:asciiTheme="minorHAnsi" w:hAnsiTheme="minorHAnsi"/>
        </w:rPr>
        <w:t xml:space="preserve">.      </w:t>
      </w:r>
    </w:p>
    <w:p w14:paraId="0E7E9637" w14:textId="24677492" w:rsidR="00D11FFA" w:rsidRDefault="00D11FFA" w:rsidP="0038085F">
      <w:pPr>
        <w:jc w:val="both"/>
        <w:rPr>
          <w:rFonts w:asciiTheme="minorHAnsi" w:hAnsiTheme="minorHAnsi"/>
        </w:rPr>
      </w:pPr>
    </w:p>
    <w:p w14:paraId="24021F1D" w14:textId="77777777" w:rsidR="00FA3990" w:rsidRDefault="00FA3990" w:rsidP="0038085F">
      <w:pPr>
        <w:jc w:val="both"/>
        <w:rPr>
          <w:rFonts w:asciiTheme="minorHAnsi" w:hAnsiTheme="minorHAnsi"/>
        </w:rPr>
      </w:pPr>
      <w:r>
        <w:rPr>
          <w:rFonts w:asciiTheme="minorHAnsi" w:hAnsiTheme="minorHAnsi"/>
        </w:rPr>
        <w:t>Submission prepared by;</w:t>
      </w:r>
    </w:p>
    <w:p w14:paraId="73CFA701" w14:textId="33F0CD9E" w:rsidR="00FA3990" w:rsidRDefault="00FA3990" w:rsidP="0038085F">
      <w:pPr>
        <w:jc w:val="both"/>
        <w:rPr>
          <w:rFonts w:asciiTheme="minorHAnsi" w:hAnsiTheme="minorHAnsi"/>
        </w:rPr>
      </w:pPr>
      <w:r>
        <w:rPr>
          <w:rFonts w:asciiTheme="minorHAnsi" w:hAnsiTheme="minorHAnsi"/>
        </w:rPr>
        <w:t>Professor Alastair</w:t>
      </w:r>
      <w:bookmarkStart w:id="0" w:name="_GoBack"/>
      <w:bookmarkEnd w:id="0"/>
      <w:r>
        <w:rPr>
          <w:rFonts w:asciiTheme="minorHAnsi" w:hAnsiTheme="minorHAnsi"/>
        </w:rPr>
        <w:t xml:space="preserve"> McEwan</w:t>
      </w:r>
    </w:p>
    <w:p w14:paraId="34F446A4" w14:textId="77777777" w:rsidR="00FA3990" w:rsidRDefault="00FA3990" w:rsidP="0038085F">
      <w:pPr>
        <w:jc w:val="both"/>
        <w:rPr>
          <w:rFonts w:asciiTheme="minorHAnsi" w:hAnsiTheme="minorHAnsi"/>
        </w:rPr>
      </w:pPr>
      <w:r>
        <w:rPr>
          <w:rFonts w:asciiTheme="minorHAnsi" w:hAnsiTheme="minorHAnsi"/>
        </w:rPr>
        <w:t>National Convenor</w:t>
      </w:r>
    </w:p>
    <w:p w14:paraId="2B59980F" w14:textId="77777777" w:rsidR="00FA3990" w:rsidRDefault="00FA3990" w:rsidP="0038085F">
      <w:pPr>
        <w:jc w:val="both"/>
        <w:rPr>
          <w:rFonts w:asciiTheme="minorHAnsi" w:hAnsiTheme="minorHAnsi"/>
        </w:rPr>
      </w:pPr>
      <w:r>
        <w:rPr>
          <w:rFonts w:asciiTheme="minorHAnsi" w:hAnsiTheme="minorHAnsi"/>
        </w:rPr>
        <w:t>Australian Council of Graduate Research</w:t>
      </w:r>
    </w:p>
    <w:p w14:paraId="43AF377F" w14:textId="77777777" w:rsidR="00FA3990" w:rsidRDefault="00FA3990" w:rsidP="0038085F">
      <w:pPr>
        <w:jc w:val="both"/>
        <w:rPr>
          <w:rFonts w:asciiTheme="minorHAnsi" w:hAnsiTheme="minorHAnsi"/>
        </w:rPr>
      </w:pPr>
    </w:p>
    <w:p w14:paraId="38D9996B" w14:textId="272B502B" w:rsidR="00AD06D1" w:rsidRDefault="00AD06D1" w:rsidP="0038085F">
      <w:pPr>
        <w:jc w:val="both"/>
        <w:rPr>
          <w:rFonts w:asciiTheme="minorHAnsi" w:hAnsiTheme="minorHAnsi"/>
        </w:rPr>
      </w:pPr>
      <w:r>
        <w:rPr>
          <w:rFonts w:asciiTheme="minorHAnsi" w:hAnsiTheme="minorHAnsi"/>
        </w:rPr>
        <w:t>For further information, in the first instance, please contact:</w:t>
      </w:r>
    </w:p>
    <w:p w14:paraId="53AE2425" w14:textId="77777777" w:rsidR="00AD06D1" w:rsidRDefault="00AD06D1" w:rsidP="0038085F">
      <w:pPr>
        <w:jc w:val="both"/>
        <w:rPr>
          <w:rFonts w:asciiTheme="minorHAnsi" w:hAnsiTheme="minorHAnsi"/>
        </w:rPr>
      </w:pPr>
      <w:r>
        <w:rPr>
          <w:rFonts w:asciiTheme="minorHAnsi" w:hAnsiTheme="minorHAnsi"/>
        </w:rPr>
        <w:t>Fiona Zammit, Executive Director</w:t>
      </w:r>
    </w:p>
    <w:p w14:paraId="0EDF5D57" w14:textId="4C01519B" w:rsidR="00AD06D1" w:rsidRDefault="00AD06D1" w:rsidP="0038085F">
      <w:pPr>
        <w:jc w:val="both"/>
        <w:rPr>
          <w:rFonts w:asciiTheme="minorHAnsi" w:hAnsiTheme="minorHAnsi"/>
        </w:rPr>
      </w:pPr>
      <w:r>
        <w:rPr>
          <w:rFonts w:asciiTheme="minorHAnsi" w:hAnsiTheme="minorHAnsi"/>
        </w:rPr>
        <w:t>Australian Council of Graduate Research</w:t>
      </w:r>
    </w:p>
    <w:p w14:paraId="3CA34F42" w14:textId="72872265" w:rsidR="00AD06D1" w:rsidRPr="00096648" w:rsidRDefault="00AD06D1" w:rsidP="0038085F">
      <w:pPr>
        <w:jc w:val="both"/>
        <w:rPr>
          <w:rFonts w:asciiTheme="minorHAnsi" w:hAnsiTheme="minorHAnsi"/>
        </w:rPr>
      </w:pPr>
      <w:r>
        <w:rPr>
          <w:rFonts w:asciiTheme="minorHAnsi" w:hAnsiTheme="minorHAnsi"/>
        </w:rPr>
        <w:t>exec@acgr.edu.au</w:t>
      </w:r>
    </w:p>
    <w:sectPr w:rsidR="00AD06D1" w:rsidRPr="00096648" w:rsidSect="00404878">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88C49" w14:textId="77777777" w:rsidR="00314841" w:rsidRDefault="00314841" w:rsidP="00FC7374">
      <w:r>
        <w:separator/>
      </w:r>
    </w:p>
  </w:endnote>
  <w:endnote w:type="continuationSeparator" w:id="0">
    <w:p w14:paraId="139FBA50" w14:textId="77777777" w:rsidR="00314841" w:rsidRDefault="00314841" w:rsidP="00FC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Body C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53E47" w14:textId="77777777" w:rsidR="00AD06D1" w:rsidRDefault="00AD06D1" w:rsidP="000C52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43A16" w14:textId="77777777" w:rsidR="00AD06D1" w:rsidRDefault="00AD06D1" w:rsidP="00AD06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7AC46" w14:textId="77777777" w:rsidR="00AD06D1" w:rsidRDefault="00AD06D1" w:rsidP="000C52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3990">
      <w:rPr>
        <w:rStyle w:val="PageNumber"/>
        <w:noProof/>
      </w:rPr>
      <w:t>4</w:t>
    </w:r>
    <w:r>
      <w:rPr>
        <w:rStyle w:val="PageNumber"/>
      </w:rPr>
      <w:fldChar w:fldCharType="end"/>
    </w:r>
  </w:p>
  <w:p w14:paraId="698836B5" w14:textId="77777777" w:rsidR="00AD06D1" w:rsidRDefault="00AD06D1" w:rsidP="00AD06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DE0F6" w14:textId="77777777" w:rsidR="00314841" w:rsidRDefault="00314841" w:rsidP="00FC7374">
      <w:r>
        <w:separator/>
      </w:r>
    </w:p>
  </w:footnote>
  <w:footnote w:type="continuationSeparator" w:id="0">
    <w:p w14:paraId="31A2252B" w14:textId="77777777" w:rsidR="00314841" w:rsidRDefault="00314841" w:rsidP="00FC7374">
      <w:r>
        <w:continuationSeparator/>
      </w:r>
    </w:p>
  </w:footnote>
  <w:footnote w:id="1">
    <w:p w14:paraId="5F01AC71" w14:textId="20A99CB6" w:rsidR="00314841" w:rsidRPr="00ED13CF" w:rsidRDefault="00314841">
      <w:pPr>
        <w:pStyle w:val="FootnoteText"/>
      </w:pPr>
      <w:r w:rsidRPr="00ED13CF">
        <w:rPr>
          <w:rStyle w:val="FootnoteReference"/>
        </w:rPr>
        <w:footnoteRef/>
      </w:r>
      <w:r w:rsidRPr="00ED13CF">
        <w:t xml:space="preserve"> ACGR Inc is the peak body for graduate research education in Australia, composed of Deans/PVCs and Directors of research training drawn from all Australian Universities </w:t>
      </w:r>
      <w:hyperlink r:id="rId1" w:history="1">
        <w:r w:rsidRPr="00ED13CF">
          <w:rPr>
            <w:rStyle w:val="Hyperlink"/>
          </w:rPr>
          <w:t>https://www.acgr.edu.au/</w:t>
        </w:r>
      </w:hyperlink>
    </w:p>
  </w:footnote>
  <w:footnote w:id="2">
    <w:p w14:paraId="0697CDE7" w14:textId="77777777" w:rsidR="00314841" w:rsidRPr="00ED13CF" w:rsidRDefault="00314841" w:rsidP="00096648">
      <w:pPr>
        <w:rPr>
          <w:rFonts w:asciiTheme="minorHAnsi" w:hAnsiTheme="minorHAnsi"/>
          <w:sz w:val="20"/>
          <w:szCs w:val="20"/>
        </w:rPr>
      </w:pPr>
      <w:r w:rsidRPr="00ED13CF">
        <w:rPr>
          <w:rStyle w:val="FootnoteReference"/>
          <w:rFonts w:asciiTheme="minorHAnsi" w:hAnsiTheme="minorHAnsi"/>
          <w:sz w:val="20"/>
          <w:szCs w:val="20"/>
        </w:rPr>
        <w:footnoteRef/>
      </w:r>
      <w:r w:rsidRPr="00ED13CF">
        <w:rPr>
          <w:rFonts w:asciiTheme="minorHAnsi" w:hAnsiTheme="minorHAnsi"/>
          <w:sz w:val="20"/>
          <w:szCs w:val="20"/>
        </w:rPr>
        <w:t xml:space="preserve"> </w:t>
      </w:r>
      <w:proofErr w:type="spellStart"/>
      <w:r w:rsidRPr="00ED13CF">
        <w:rPr>
          <w:rFonts w:asciiTheme="minorHAnsi" w:hAnsiTheme="minorHAnsi"/>
          <w:sz w:val="20"/>
          <w:szCs w:val="20"/>
        </w:rPr>
        <w:t>Mazzucato</w:t>
      </w:r>
      <w:proofErr w:type="spellEnd"/>
      <w:r w:rsidRPr="00ED13CF">
        <w:rPr>
          <w:rFonts w:asciiTheme="minorHAnsi" w:hAnsiTheme="minorHAnsi"/>
          <w:sz w:val="20"/>
          <w:szCs w:val="20"/>
        </w:rPr>
        <w:t xml:space="preserve">, M. 2018 </w:t>
      </w:r>
      <w:r w:rsidRPr="00ED13CF">
        <w:rPr>
          <w:rFonts w:asciiTheme="minorHAnsi" w:hAnsiTheme="minorHAnsi"/>
          <w:sz w:val="20"/>
          <w:szCs w:val="20"/>
          <w:vertAlign w:val="superscript"/>
        </w:rPr>
        <w:t>‘</w:t>
      </w:r>
      <w:r w:rsidRPr="00ED13CF">
        <w:rPr>
          <w:rFonts w:asciiTheme="minorHAnsi" w:hAnsiTheme="minorHAnsi"/>
          <w:sz w:val="20"/>
          <w:szCs w:val="20"/>
        </w:rPr>
        <w:t xml:space="preserve">The Entrepreneurial State – debunking Public </w:t>
      </w:r>
      <w:proofErr w:type="spellStart"/>
      <w:r w:rsidRPr="00ED13CF">
        <w:rPr>
          <w:rFonts w:asciiTheme="minorHAnsi" w:hAnsiTheme="minorHAnsi"/>
          <w:sz w:val="20"/>
          <w:szCs w:val="20"/>
        </w:rPr>
        <w:t>vs</w:t>
      </w:r>
      <w:proofErr w:type="spellEnd"/>
      <w:r w:rsidRPr="00ED13CF">
        <w:rPr>
          <w:rFonts w:asciiTheme="minorHAnsi" w:hAnsiTheme="minorHAnsi"/>
          <w:sz w:val="20"/>
          <w:szCs w:val="20"/>
        </w:rPr>
        <w:t xml:space="preserve"> Private Sector Myths’ Revised Edition, Penguin Books</w:t>
      </w:r>
    </w:p>
    <w:p w14:paraId="529ACB80" w14:textId="52BEFEF6" w:rsidR="00314841" w:rsidRPr="00096648" w:rsidRDefault="00314841">
      <w:pPr>
        <w:pStyle w:val="FootnoteText"/>
        <w:rPr>
          <w:lang w:val="en-US"/>
        </w:rPr>
      </w:pPr>
    </w:p>
  </w:footnote>
  <w:footnote w:id="3">
    <w:p w14:paraId="35E95EB3" w14:textId="123A339E" w:rsidR="00314841" w:rsidRPr="00096648" w:rsidRDefault="00314841">
      <w:pPr>
        <w:pStyle w:val="FootnoteText"/>
        <w:rPr>
          <w:lang w:val="en-US"/>
        </w:rPr>
      </w:pPr>
      <w:r>
        <w:rPr>
          <w:rStyle w:val="FootnoteReference"/>
        </w:rPr>
        <w:footnoteRef/>
      </w:r>
      <w:r>
        <w:t xml:space="preserve"> </w:t>
      </w:r>
      <w:r w:rsidRPr="00096648">
        <w:t>https://acola.org/research-training-system-review-saf13/</w:t>
      </w:r>
    </w:p>
  </w:footnote>
  <w:footnote w:id="4">
    <w:p w14:paraId="623FDCB9" w14:textId="6DFB29D7" w:rsidR="00314841" w:rsidRPr="00314841" w:rsidRDefault="00314841">
      <w:pPr>
        <w:pStyle w:val="FootnoteText"/>
        <w:rPr>
          <w:lang w:val="en-US"/>
        </w:rPr>
      </w:pPr>
      <w:r>
        <w:rPr>
          <w:rStyle w:val="FootnoteReference"/>
        </w:rPr>
        <w:footnoteRef/>
      </w:r>
      <w:r>
        <w:t xml:space="preserve"> </w:t>
      </w:r>
      <w:r w:rsidR="00BF1B52" w:rsidRPr="009D1715">
        <w:rPr>
          <w:rFonts w:cs="Times New Roman (Body CS)"/>
          <w:color w:val="000000" w:themeColor="text1"/>
        </w:rPr>
        <w:t xml:space="preserve">Advancing Australia’s Knowledge Economy – Who are the top PhD Employers? 2019 </w:t>
      </w:r>
      <w:proofErr w:type="spellStart"/>
      <w:r w:rsidR="00BF1B52" w:rsidRPr="009D1715">
        <w:rPr>
          <w:rFonts w:cs="Times New Roman (Body CS)"/>
          <w:color w:val="000000" w:themeColor="text1"/>
        </w:rPr>
        <w:t>McArthy</w:t>
      </w:r>
      <w:proofErr w:type="spellEnd"/>
      <w:r w:rsidR="00BF1B52" w:rsidRPr="009D1715">
        <w:rPr>
          <w:rFonts w:cs="Times New Roman (Body CS)"/>
          <w:color w:val="000000" w:themeColor="text1"/>
        </w:rPr>
        <w:t xml:space="preserve"> P.X. and </w:t>
      </w:r>
      <w:proofErr w:type="spellStart"/>
      <w:r w:rsidR="00BF1B52" w:rsidRPr="009D1715">
        <w:rPr>
          <w:rFonts w:cs="Times New Roman (Body CS)"/>
          <w:color w:val="000000" w:themeColor="text1"/>
        </w:rPr>
        <w:t>Wienk</w:t>
      </w:r>
      <w:proofErr w:type="spellEnd"/>
      <w:r w:rsidR="00BF1B52" w:rsidRPr="009D1715">
        <w:rPr>
          <w:rFonts w:cs="Times New Roman (Body CS)"/>
          <w:color w:val="000000" w:themeColor="text1"/>
        </w:rPr>
        <w:t xml:space="preserve"> M. AMSI &amp; CSIRO Data61’s Ribit.net</w:t>
      </w:r>
    </w:p>
  </w:footnote>
  <w:footnote w:id="5">
    <w:p w14:paraId="384F9B34" w14:textId="5479E158" w:rsidR="00BF1B52" w:rsidRPr="00BF1B52" w:rsidRDefault="00BF1B52" w:rsidP="00BF1B52">
      <w:pPr>
        <w:pStyle w:val="Footer"/>
        <w:rPr>
          <w:sz w:val="20"/>
          <w:szCs w:val="20"/>
        </w:rPr>
      </w:pPr>
      <w:r w:rsidRPr="00C41F2D">
        <w:rPr>
          <w:rStyle w:val="FootnoteReference"/>
          <w:sz w:val="20"/>
          <w:szCs w:val="20"/>
        </w:rPr>
        <w:footnoteRef/>
      </w:r>
      <w:r w:rsidRPr="00C41F2D">
        <w:rPr>
          <w:sz w:val="20"/>
          <w:szCs w:val="20"/>
        </w:rPr>
        <w:t xml:space="preserve"> </w:t>
      </w:r>
      <w:proofErr w:type="spellStart"/>
      <w:r w:rsidRPr="00770327">
        <w:rPr>
          <w:sz w:val="20"/>
          <w:szCs w:val="20"/>
        </w:rPr>
        <w:t>Mazzucato</w:t>
      </w:r>
      <w:proofErr w:type="spellEnd"/>
      <w:r w:rsidRPr="00770327">
        <w:rPr>
          <w:sz w:val="20"/>
          <w:szCs w:val="20"/>
        </w:rPr>
        <w:t xml:space="preserve">, M. 2021 </w:t>
      </w:r>
      <w:r w:rsidRPr="00770327">
        <w:rPr>
          <w:sz w:val="20"/>
          <w:szCs w:val="20"/>
          <w:vertAlign w:val="superscript"/>
        </w:rPr>
        <w:t>‘</w:t>
      </w:r>
      <w:r w:rsidRPr="00770327">
        <w:rPr>
          <w:sz w:val="20"/>
          <w:szCs w:val="20"/>
        </w:rPr>
        <w:t>Mission Economy’, Allen Lane</w:t>
      </w:r>
    </w:p>
  </w:footnote>
  <w:footnote w:id="6">
    <w:p w14:paraId="5E26C5AE" w14:textId="02469C87" w:rsidR="00BF1B52" w:rsidRPr="00BF1B52" w:rsidRDefault="00BF1B52">
      <w:pPr>
        <w:pStyle w:val="FootnoteText"/>
        <w:rPr>
          <w:lang w:val="en-US"/>
        </w:rPr>
      </w:pPr>
      <w:r>
        <w:rPr>
          <w:rStyle w:val="FootnoteReference"/>
        </w:rPr>
        <w:footnoteRef/>
      </w:r>
      <w:r>
        <w:t xml:space="preserve"> </w:t>
      </w:r>
      <w:hyperlink r:id="rId2" w:history="1">
        <w:r w:rsidRPr="00ED13CF">
          <w:rPr>
            <w:rStyle w:val="Hyperlink"/>
            <w:color w:val="auto"/>
          </w:rPr>
          <w:t>https://www.ukri.org/councils/innovate-uk/</w:t>
        </w:r>
      </w:hyperlink>
    </w:p>
  </w:footnote>
  <w:footnote w:id="7">
    <w:p w14:paraId="665C56C8" w14:textId="77777777" w:rsidR="00BF1B52" w:rsidRDefault="00BF1B52" w:rsidP="00BF1B52">
      <w:pPr>
        <w:pStyle w:val="Footer"/>
        <w:rPr>
          <w:rStyle w:val="Hyperlink"/>
          <w:color w:val="FF0000"/>
          <w:sz w:val="20"/>
          <w:szCs w:val="20"/>
        </w:rPr>
      </w:pPr>
      <w:r>
        <w:rPr>
          <w:rStyle w:val="FootnoteReference"/>
        </w:rPr>
        <w:footnoteRef/>
      </w:r>
      <w:r>
        <w:t xml:space="preserve"> </w:t>
      </w:r>
      <w:hyperlink r:id="rId3" w:history="1">
        <w:r w:rsidRPr="00ED13CF">
          <w:rPr>
            <w:rStyle w:val="Hyperlink"/>
            <w:color w:val="auto"/>
            <w:sz w:val="20"/>
            <w:szCs w:val="20"/>
          </w:rPr>
          <w:t>https://www</w:t>
        </w:r>
        <w:r w:rsidRPr="00ED13CF">
          <w:rPr>
            <w:rStyle w:val="Hyperlink"/>
            <w:color w:val="auto"/>
            <w:sz w:val="20"/>
            <w:szCs w:val="20"/>
          </w:rPr>
          <w:t>.</w:t>
        </w:r>
        <w:r w:rsidRPr="00ED13CF">
          <w:rPr>
            <w:rStyle w:val="Hyperlink"/>
            <w:color w:val="auto"/>
            <w:sz w:val="20"/>
            <w:szCs w:val="20"/>
          </w:rPr>
          <w:t>industry.gov.au/data-and-publications/2016-review-of-the-rd-tax-incentive</w:t>
        </w:r>
      </w:hyperlink>
    </w:p>
    <w:p w14:paraId="7C0078D2" w14:textId="6BE25ED1" w:rsidR="00BF1B52" w:rsidRPr="00BF1B52" w:rsidRDefault="00BF1B52">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C24"/>
    <w:multiLevelType w:val="hybridMultilevel"/>
    <w:tmpl w:val="46E6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B6204"/>
    <w:multiLevelType w:val="hybridMultilevel"/>
    <w:tmpl w:val="0AA2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24662"/>
    <w:multiLevelType w:val="hybridMultilevel"/>
    <w:tmpl w:val="CDA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D2851"/>
    <w:multiLevelType w:val="hybridMultilevel"/>
    <w:tmpl w:val="EA9A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604FC"/>
    <w:multiLevelType w:val="hybridMultilevel"/>
    <w:tmpl w:val="E300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51CDC"/>
    <w:multiLevelType w:val="hybridMultilevel"/>
    <w:tmpl w:val="A4D2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6B57A0"/>
    <w:multiLevelType w:val="hybridMultilevel"/>
    <w:tmpl w:val="95B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00"/>
    <w:rsid w:val="00096648"/>
    <w:rsid w:val="000E4E4D"/>
    <w:rsid w:val="00132D9C"/>
    <w:rsid w:val="00140C25"/>
    <w:rsid w:val="001C0354"/>
    <w:rsid w:val="002023A6"/>
    <w:rsid w:val="00246801"/>
    <w:rsid w:val="002838E9"/>
    <w:rsid w:val="00286C37"/>
    <w:rsid w:val="00287E49"/>
    <w:rsid w:val="002B52CE"/>
    <w:rsid w:val="002E36A9"/>
    <w:rsid w:val="00300161"/>
    <w:rsid w:val="00314841"/>
    <w:rsid w:val="0033179E"/>
    <w:rsid w:val="00341B61"/>
    <w:rsid w:val="0038085F"/>
    <w:rsid w:val="003B53A0"/>
    <w:rsid w:val="00404878"/>
    <w:rsid w:val="00456D6F"/>
    <w:rsid w:val="004712EA"/>
    <w:rsid w:val="00474CC5"/>
    <w:rsid w:val="005B6530"/>
    <w:rsid w:val="00614530"/>
    <w:rsid w:val="006171A2"/>
    <w:rsid w:val="006A4BF3"/>
    <w:rsid w:val="006D7061"/>
    <w:rsid w:val="006F0144"/>
    <w:rsid w:val="0070039B"/>
    <w:rsid w:val="00767D93"/>
    <w:rsid w:val="00770327"/>
    <w:rsid w:val="00777590"/>
    <w:rsid w:val="007B5800"/>
    <w:rsid w:val="007D2291"/>
    <w:rsid w:val="00804842"/>
    <w:rsid w:val="00805E7B"/>
    <w:rsid w:val="00807031"/>
    <w:rsid w:val="00941730"/>
    <w:rsid w:val="009D1715"/>
    <w:rsid w:val="009F1ABD"/>
    <w:rsid w:val="00A1618A"/>
    <w:rsid w:val="00A36631"/>
    <w:rsid w:val="00A57CD4"/>
    <w:rsid w:val="00A85EF3"/>
    <w:rsid w:val="00AB3039"/>
    <w:rsid w:val="00AD06D1"/>
    <w:rsid w:val="00AE1AC9"/>
    <w:rsid w:val="00B36646"/>
    <w:rsid w:val="00BC59A7"/>
    <w:rsid w:val="00BF1B52"/>
    <w:rsid w:val="00C11D51"/>
    <w:rsid w:val="00C41F2D"/>
    <w:rsid w:val="00D11FFA"/>
    <w:rsid w:val="00D22540"/>
    <w:rsid w:val="00ED13CF"/>
    <w:rsid w:val="00EF449B"/>
    <w:rsid w:val="00F82BBF"/>
    <w:rsid w:val="00F82EFB"/>
    <w:rsid w:val="00FA3990"/>
    <w:rsid w:val="00FB30F5"/>
    <w:rsid w:val="00FC7374"/>
    <w:rsid w:val="00FF3B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C5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15"/>
    <w:rPr>
      <w:rFonts w:ascii="Times New Roman" w:eastAsia="Times New Roman" w:hAnsi="Times New Roman" w:cs="Times New Roman"/>
    </w:rPr>
  </w:style>
  <w:style w:type="paragraph" w:styleId="Heading1">
    <w:name w:val="heading 1"/>
    <w:basedOn w:val="Normal"/>
    <w:link w:val="Heading1Char"/>
    <w:uiPriority w:val="9"/>
    <w:qFormat/>
    <w:rsid w:val="00FC737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C5"/>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00161"/>
    <w:rPr>
      <w:color w:val="0563C1" w:themeColor="hyperlink"/>
      <w:u w:val="single"/>
    </w:rPr>
  </w:style>
  <w:style w:type="character" w:customStyle="1" w:styleId="UnresolvedMention">
    <w:name w:val="Unresolved Mention"/>
    <w:basedOn w:val="DefaultParagraphFont"/>
    <w:uiPriority w:val="99"/>
    <w:semiHidden/>
    <w:unhideWhenUsed/>
    <w:rsid w:val="00300161"/>
    <w:rPr>
      <w:color w:val="605E5C"/>
      <w:shd w:val="clear" w:color="auto" w:fill="E1DFDD"/>
    </w:rPr>
  </w:style>
  <w:style w:type="character" w:styleId="CommentReference">
    <w:name w:val="annotation reference"/>
    <w:basedOn w:val="DefaultParagraphFont"/>
    <w:uiPriority w:val="99"/>
    <w:semiHidden/>
    <w:unhideWhenUsed/>
    <w:rsid w:val="00FF3B65"/>
    <w:rPr>
      <w:sz w:val="16"/>
      <w:szCs w:val="16"/>
    </w:rPr>
  </w:style>
  <w:style w:type="paragraph" w:styleId="CommentText">
    <w:name w:val="annotation text"/>
    <w:basedOn w:val="Normal"/>
    <w:link w:val="CommentTextChar"/>
    <w:uiPriority w:val="99"/>
    <w:semiHidden/>
    <w:unhideWhenUsed/>
    <w:rsid w:val="00FF3B65"/>
    <w:rPr>
      <w:sz w:val="20"/>
      <w:szCs w:val="20"/>
    </w:rPr>
  </w:style>
  <w:style w:type="character" w:customStyle="1" w:styleId="CommentTextChar">
    <w:name w:val="Comment Text Char"/>
    <w:basedOn w:val="DefaultParagraphFont"/>
    <w:link w:val="CommentText"/>
    <w:uiPriority w:val="99"/>
    <w:semiHidden/>
    <w:rsid w:val="00FF3B65"/>
    <w:rPr>
      <w:sz w:val="20"/>
      <w:szCs w:val="20"/>
    </w:rPr>
  </w:style>
  <w:style w:type="paragraph" w:styleId="CommentSubject">
    <w:name w:val="annotation subject"/>
    <w:basedOn w:val="CommentText"/>
    <w:next w:val="CommentText"/>
    <w:link w:val="CommentSubjectChar"/>
    <w:uiPriority w:val="99"/>
    <w:semiHidden/>
    <w:unhideWhenUsed/>
    <w:rsid w:val="00FF3B65"/>
    <w:rPr>
      <w:b/>
      <w:bCs/>
    </w:rPr>
  </w:style>
  <w:style w:type="character" w:customStyle="1" w:styleId="CommentSubjectChar">
    <w:name w:val="Comment Subject Char"/>
    <w:basedOn w:val="CommentTextChar"/>
    <w:link w:val="CommentSubject"/>
    <w:uiPriority w:val="99"/>
    <w:semiHidden/>
    <w:rsid w:val="00FF3B65"/>
    <w:rPr>
      <w:b/>
      <w:bCs/>
      <w:sz w:val="20"/>
      <w:szCs w:val="20"/>
    </w:rPr>
  </w:style>
  <w:style w:type="paragraph" w:styleId="BalloonText">
    <w:name w:val="Balloon Text"/>
    <w:basedOn w:val="Normal"/>
    <w:link w:val="BalloonTextChar"/>
    <w:uiPriority w:val="99"/>
    <w:semiHidden/>
    <w:unhideWhenUsed/>
    <w:rsid w:val="00FF3B65"/>
    <w:rPr>
      <w:sz w:val="18"/>
      <w:szCs w:val="18"/>
    </w:rPr>
  </w:style>
  <w:style w:type="character" w:customStyle="1" w:styleId="BalloonTextChar">
    <w:name w:val="Balloon Text Char"/>
    <w:basedOn w:val="DefaultParagraphFont"/>
    <w:link w:val="BalloonText"/>
    <w:uiPriority w:val="99"/>
    <w:semiHidden/>
    <w:rsid w:val="00FF3B65"/>
    <w:rPr>
      <w:rFonts w:ascii="Times New Roman" w:hAnsi="Times New Roman" w:cs="Times New Roman"/>
      <w:sz w:val="18"/>
      <w:szCs w:val="18"/>
    </w:rPr>
  </w:style>
  <w:style w:type="paragraph" w:styleId="FootnoteText">
    <w:name w:val="footnote text"/>
    <w:basedOn w:val="Normal"/>
    <w:link w:val="FootnoteTextChar"/>
    <w:uiPriority w:val="99"/>
    <w:unhideWhenUsed/>
    <w:rsid w:val="00FC737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C7374"/>
    <w:rPr>
      <w:sz w:val="20"/>
      <w:szCs w:val="20"/>
    </w:rPr>
  </w:style>
  <w:style w:type="character" w:styleId="FootnoteReference">
    <w:name w:val="footnote reference"/>
    <w:basedOn w:val="DefaultParagraphFont"/>
    <w:uiPriority w:val="99"/>
    <w:unhideWhenUsed/>
    <w:rsid w:val="00FC7374"/>
    <w:rPr>
      <w:vertAlign w:val="superscript"/>
    </w:rPr>
  </w:style>
  <w:style w:type="paragraph" w:styleId="Header">
    <w:name w:val="header"/>
    <w:basedOn w:val="Normal"/>
    <w:link w:val="HeaderChar"/>
    <w:uiPriority w:val="99"/>
    <w:unhideWhenUsed/>
    <w:rsid w:val="00FC737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C7374"/>
  </w:style>
  <w:style w:type="paragraph" w:styleId="Footer">
    <w:name w:val="footer"/>
    <w:basedOn w:val="Normal"/>
    <w:link w:val="FooterChar"/>
    <w:uiPriority w:val="99"/>
    <w:unhideWhenUsed/>
    <w:rsid w:val="00FC737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C7374"/>
  </w:style>
  <w:style w:type="character" w:customStyle="1" w:styleId="Heading1Char">
    <w:name w:val="Heading 1 Char"/>
    <w:basedOn w:val="DefaultParagraphFont"/>
    <w:link w:val="Heading1"/>
    <w:uiPriority w:val="9"/>
    <w:rsid w:val="00FC73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C7374"/>
    <w:rPr>
      <w:b/>
      <w:bCs/>
    </w:rPr>
  </w:style>
  <w:style w:type="character" w:styleId="FollowedHyperlink">
    <w:name w:val="FollowedHyperlink"/>
    <w:basedOn w:val="DefaultParagraphFont"/>
    <w:uiPriority w:val="99"/>
    <w:semiHidden/>
    <w:unhideWhenUsed/>
    <w:rsid w:val="00096648"/>
    <w:rPr>
      <w:color w:val="954F72" w:themeColor="followedHyperlink"/>
      <w:u w:val="single"/>
    </w:rPr>
  </w:style>
  <w:style w:type="character" w:styleId="PageNumber">
    <w:name w:val="page number"/>
    <w:basedOn w:val="DefaultParagraphFont"/>
    <w:uiPriority w:val="99"/>
    <w:semiHidden/>
    <w:unhideWhenUsed/>
    <w:rsid w:val="00AD06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15"/>
    <w:rPr>
      <w:rFonts w:ascii="Times New Roman" w:eastAsia="Times New Roman" w:hAnsi="Times New Roman" w:cs="Times New Roman"/>
    </w:rPr>
  </w:style>
  <w:style w:type="paragraph" w:styleId="Heading1">
    <w:name w:val="heading 1"/>
    <w:basedOn w:val="Normal"/>
    <w:link w:val="Heading1Char"/>
    <w:uiPriority w:val="9"/>
    <w:qFormat/>
    <w:rsid w:val="00FC737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C5"/>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00161"/>
    <w:rPr>
      <w:color w:val="0563C1" w:themeColor="hyperlink"/>
      <w:u w:val="single"/>
    </w:rPr>
  </w:style>
  <w:style w:type="character" w:customStyle="1" w:styleId="UnresolvedMention">
    <w:name w:val="Unresolved Mention"/>
    <w:basedOn w:val="DefaultParagraphFont"/>
    <w:uiPriority w:val="99"/>
    <w:semiHidden/>
    <w:unhideWhenUsed/>
    <w:rsid w:val="00300161"/>
    <w:rPr>
      <w:color w:val="605E5C"/>
      <w:shd w:val="clear" w:color="auto" w:fill="E1DFDD"/>
    </w:rPr>
  </w:style>
  <w:style w:type="character" w:styleId="CommentReference">
    <w:name w:val="annotation reference"/>
    <w:basedOn w:val="DefaultParagraphFont"/>
    <w:uiPriority w:val="99"/>
    <w:semiHidden/>
    <w:unhideWhenUsed/>
    <w:rsid w:val="00FF3B65"/>
    <w:rPr>
      <w:sz w:val="16"/>
      <w:szCs w:val="16"/>
    </w:rPr>
  </w:style>
  <w:style w:type="paragraph" w:styleId="CommentText">
    <w:name w:val="annotation text"/>
    <w:basedOn w:val="Normal"/>
    <w:link w:val="CommentTextChar"/>
    <w:uiPriority w:val="99"/>
    <w:semiHidden/>
    <w:unhideWhenUsed/>
    <w:rsid w:val="00FF3B65"/>
    <w:rPr>
      <w:sz w:val="20"/>
      <w:szCs w:val="20"/>
    </w:rPr>
  </w:style>
  <w:style w:type="character" w:customStyle="1" w:styleId="CommentTextChar">
    <w:name w:val="Comment Text Char"/>
    <w:basedOn w:val="DefaultParagraphFont"/>
    <w:link w:val="CommentText"/>
    <w:uiPriority w:val="99"/>
    <w:semiHidden/>
    <w:rsid w:val="00FF3B65"/>
    <w:rPr>
      <w:sz w:val="20"/>
      <w:szCs w:val="20"/>
    </w:rPr>
  </w:style>
  <w:style w:type="paragraph" w:styleId="CommentSubject">
    <w:name w:val="annotation subject"/>
    <w:basedOn w:val="CommentText"/>
    <w:next w:val="CommentText"/>
    <w:link w:val="CommentSubjectChar"/>
    <w:uiPriority w:val="99"/>
    <w:semiHidden/>
    <w:unhideWhenUsed/>
    <w:rsid w:val="00FF3B65"/>
    <w:rPr>
      <w:b/>
      <w:bCs/>
    </w:rPr>
  </w:style>
  <w:style w:type="character" w:customStyle="1" w:styleId="CommentSubjectChar">
    <w:name w:val="Comment Subject Char"/>
    <w:basedOn w:val="CommentTextChar"/>
    <w:link w:val="CommentSubject"/>
    <w:uiPriority w:val="99"/>
    <w:semiHidden/>
    <w:rsid w:val="00FF3B65"/>
    <w:rPr>
      <w:b/>
      <w:bCs/>
      <w:sz w:val="20"/>
      <w:szCs w:val="20"/>
    </w:rPr>
  </w:style>
  <w:style w:type="paragraph" w:styleId="BalloonText">
    <w:name w:val="Balloon Text"/>
    <w:basedOn w:val="Normal"/>
    <w:link w:val="BalloonTextChar"/>
    <w:uiPriority w:val="99"/>
    <w:semiHidden/>
    <w:unhideWhenUsed/>
    <w:rsid w:val="00FF3B65"/>
    <w:rPr>
      <w:sz w:val="18"/>
      <w:szCs w:val="18"/>
    </w:rPr>
  </w:style>
  <w:style w:type="character" w:customStyle="1" w:styleId="BalloonTextChar">
    <w:name w:val="Balloon Text Char"/>
    <w:basedOn w:val="DefaultParagraphFont"/>
    <w:link w:val="BalloonText"/>
    <w:uiPriority w:val="99"/>
    <w:semiHidden/>
    <w:rsid w:val="00FF3B65"/>
    <w:rPr>
      <w:rFonts w:ascii="Times New Roman" w:hAnsi="Times New Roman" w:cs="Times New Roman"/>
      <w:sz w:val="18"/>
      <w:szCs w:val="18"/>
    </w:rPr>
  </w:style>
  <w:style w:type="paragraph" w:styleId="FootnoteText">
    <w:name w:val="footnote text"/>
    <w:basedOn w:val="Normal"/>
    <w:link w:val="FootnoteTextChar"/>
    <w:uiPriority w:val="99"/>
    <w:unhideWhenUsed/>
    <w:rsid w:val="00FC737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C7374"/>
    <w:rPr>
      <w:sz w:val="20"/>
      <w:szCs w:val="20"/>
    </w:rPr>
  </w:style>
  <w:style w:type="character" w:styleId="FootnoteReference">
    <w:name w:val="footnote reference"/>
    <w:basedOn w:val="DefaultParagraphFont"/>
    <w:uiPriority w:val="99"/>
    <w:unhideWhenUsed/>
    <w:rsid w:val="00FC7374"/>
    <w:rPr>
      <w:vertAlign w:val="superscript"/>
    </w:rPr>
  </w:style>
  <w:style w:type="paragraph" w:styleId="Header">
    <w:name w:val="header"/>
    <w:basedOn w:val="Normal"/>
    <w:link w:val="HeaderChar"/>
    <w:uiPriority w:val="99"/>
    <w:unhideWhenUsed/>
    <w:rsid w:val="00FC737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C7374"/>
  </w:style>
  <w:style w:type="paragraph" w:styleId="Footer">
    <w:name w:val="footer"/>
    <w:basedOn w:val="Normal"/>
    <w:link w:val="FooterChar"/>
    <w:uiPriority w:val="99"/>
    <w:unhideWhenUsed/>
    <w:rsid w:val="00FC737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C7374"/>
  </w:style>
  <w:style w:type="character" w:customStyle="1" w:styleId="Heading1Char">
    <w:name w:val="Heading 1 Char"/>
    <w:basedOn w:val="DefaultParagraphFont"/>
    <w:link w:val="Heading1"/>
    <w:uiPriority w:val="9"/>
    <w:rsid w:val="00FC73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C7374"/>
    <w:rPr>
      <w:b/>
      <w:bCs/>
    </w:rPr>
  </w:style>
  <w:style w:type="character" w:styleId="FollowedHyperlink">
    <w:name w:val="FollowedHyperlink"/>
    <w:basedOn w:val="DefaultParagraphFont"/>
    <w:uiPriority w:val="99"/>
    <w:semiHidden/>
    <w:unhideWhenUsed/>
    <w:rsid w:val="00096648"/>
    <w:rPr>
      <w:color w:val="954F72" w:themeColor="followedHyperlink"/>
      <w:u w:val="single"/>
    </w:rPr>
  </w:style>
  <w:style w:type="character" w:styleId="PageNumber">
    <w:name w:val="page number"/>
    <w:basedOn w:val="DefaultParagraphFont"/>
    <w:uiPriority w:val="99"/>
    <w:semiHidden/>
    <w:unhideWhenUsed/>
    <w:rsid w:val="00AD0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36550">
      <w:bodyDiv w:val="1"/>
      <w:marLeft w:val="0"/>
      <w:marRight w:val="0"/>
      <w:marTop w:val="0"/>
      <w:marBottom w:val="0"/>
      <w:divBdr>
        <w:top w:val="none" w:sz="0" w:space="0" w:color="auto"/>
        <w:left w:val="none" w:sz="0" w:space="0" w:color="auto"/>
        <w:bottom w:val="none" w:sz="0" w:space="0" w:color="auto"/>
        <w:right w:val="none" w:sz="0" w:space="0" w:color="auto"/>
      </w:divBdr>
    </w:div>
    <w:div w:id="105933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gr.edu.au/" TargetMode="External"/><Relationship Id="rId2" Type="http://schemas.openxmlformats.org/officeDocument/2006/relationships/hyperlink" Target="https://www.ukri.org/councils/innovate-uk/" TargetMode="External"/><Relationship Id="rId3" Type="http://schemas.openxmlformats.org/officeDocument/2006/relationships/hyperlink" Target="https://www.industry.gov.au/data-and-publications/2016-review-of-the-rd-tax-incen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125A90A-4880-DF43-AE9F-A5E3343A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1478</Words>
  <Characters>8428</Characters>
  <Application>Microsoft Macintosh Word</Application>
  <DocSecurity>0</DocSecurity>
  <Lines>135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McEwan</dc:creator>
  <cp:keywords/>
  <dc:description/>
  <cp:lastModifiedBy>RMIT University</cp:lastModifiedBy>
  <cp:revision>8</cp:revision>
  <dcterms:created xsi:type="dcterms:W3CDTF">2021-04-06T00:21:00Z</dcterms:created>
  <dcterms:modified xsi:type="dcterms:W3CDTF">2021-04-06T00:34:00Z</dcterms:modified>
</cp:coreProperties>
</file>