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60EDA71" w14:textId="5B9F81C8" w:rsidR="003D2424" w:rsidRPr="003D2424" w:rsidRDefault="00D2469D" w:rsidP="003D2424">
      <w:pPr>
        <w:rPr>
          <w:rFonts w:ascii="Times New Roman" w:eastAsia="Times New Roman" w:hAnsi="Times New Roman" w:cs="Times New Roman"/>
          <w:sz w:val="24"/>
          <w:szCs w:val="24"/>
          <w:lang w:bidi="ar-SA"/>
        </w:rPr>
      </w:pPr>
      <w:r>
        <w:rPr>
          <w:sz w:val="18"/>
        </w:rPr>
        <w:pict w14:anchorId="26865467">
          <v:shapetype id="_x0000_t202" coordsize="21600,21600" o:spt="202" path="m0,0l0,21600,21600,21600,21600,0xe">
            <v:stroke joinstyle="miter"/>
            <v:path gradientshapeok="t" o:connecttype="rect"/>
          </v:shapetype>
          <v:shape id="_x0000_s1034" type="#_x0000_t202" style="position:absolute;margin-left:24.05pt;margin-top:20.55pt;width:211.75pt;height:9.05pt;z-index:-3976;mso-position-horizontal-relative:page;mso-position-vertical-relative:page" filled="f" stroked="f">
            <v:textbox style="mso-next-textbox:#_x0000_s1034" inset="0,0,0,0">
              <w:txbxContent>
                <w:p w14:paraId="555EDD75" w14:textId="77777777" w:rsidR="00080424" w:rsidRDefault="00E10C0B">
                  <w:pPr>
                    <w:tabs>
                      <w:tab w:val="left" w:pos="289"/>
                    </w:tabs>
                    <w:spacing w:line="181" w:lineRule="exact"/>
                    <w:rPr>
                      <w:rFonts w:ascii="Uni Sans Light"/>
                      <w:sz w:val="16"/>
                    </w:rPr>
                  </w:pPr>
                  <w:r>
                    <w:rPr>
                      <w:rFonts w:ascii="Uni Sans Light"/>
                      <w:color w:val="0096DB"/>
                      <w:sz w:val="16"/>
                    </w:rPr>
                    <w:t>1</w:t>
                  </w:r>
                  <w:r>
                    <w:rPr>
                      <w:rFonts w:ascii="Uni Sans Light"/>
                      <w:color w:val="0096DB"/>
                      <w:sz w:val="16"/>
                    </w:rPr>
                    <w:tab/>
                  </w:r>
                  <w:r>
                    <w:rPr>
                      <w:rFonts w:ascii="Uni Sans Light"/>
                      <w:color w:val="231F20"/>
                      <w:sz w:val="16"/>
                    </w:rPr>
                    <w:t xml:space="preserve">ACGR Guidelines for Quality </w:t>
                  </w:r>
                  <w:r>
                    <w:rPr>
                      <w:rFonts w:ascii="Uni Sans Light"/>
                      <w:color w:val="231F20"/>
                      <w:spacing w:val="-3"/>
                      <w:sz w:val="16"/>
                    </w:rPr>
                    <w:t xml:space="preserve">Graduate </w:t>
                  </w:r>
                  <w:r>
                    <w:rPr>
                      <w:rFonts w:ascii="Uni Sans Light"/>
                      <w:color w:val="231F20"/>
                      <w:sz w:val="16"/>
                    </w:rPr>
                    <w:t>Research</w:t>
                  </w:r>
                  <w:r>
                    <w:rPr>
                      <w:rFonts w:ascii="Uni Sans Light"/>
                      <w:color w:val="231F20"/>
                      <w:spacing w:val="-32"/>
                      <w:sz w:val="16"/>
                    </w:rPr>
                    <w:t xml:space="preserve"> </w:t>
                  </w:r>
                  <w:r>
                    <w:rPr>
                      <w:rFonts w:ascii="Uni Sans Light"/>
                      <w:color w:val="231F20"/>
                      <w:sz w:val="16"/>
                    </w:rPr>
                    <w:t>Supervision</w:t>
                  </w:r>
                </w:p>
              </w:txbxContent>
            </v:textbox>
            <w10:wrap anchorx="page" anchory="page"/>
          </v:shape>
        </w:pict>
      </w:r>
    </w:p>
    <w:p w14:paraId="4DA9B27E" w14:textId="3256C6A9" w:rsidR="00080424" w:rsidRDefault="00D2469D">
      <w:pPr>
        <w:pStyle w:val="BodyText"/>
        <w:spacing w:before="6"/>
        <w:rPr>
          <w:rFonts w:ascii="Times New Roman"/>
          <w:sz w:val="17"/>
        </w:rPr>
      </w:pPr>
      <w:bookmarkStart w:id="0" w:name="_GoBack"/>
      <w:r>
        <w:pict w14:anchorId="50BABA35">
          <v:group id="_x0000_s1030" style="position:absolute;margin-left:0;margin-top:0;width:595.3pt;height:688.15pt;z-index:-3952;mso-position-horizontal-relative:page;mso-position-vertical-relative:page" coordsize="11906,13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1906;height:13467">
              <v:imagedata r:id="rId7" o:title=""/>
            </v:shape>
            <v:rect id="_x0000_s1032" style="position:absolute;width:11906;height:12208" fillcolor="#33a5c6" stroked="f">
              <v:fill opacity=".5"/>
            </v:rect>
            <v:rect id="_x0000_s1031" style="position:absolute;top:12207;width:11906;height:1555" stroked="f">
              <v:fill opacity="44564f"/>
            </v:rect>
            <w10:wrap anchorx="page" anchory="page"/>
          </v:group>
        </w:pict>
      </w:r>
      <w:bookmarkEnd w:id="0"/>
    </w:p>
    <w:p w14:paraId="02316085" w14:textId="77777777" w:rsidR="00080424" w:rsidRDefault="00E10C0B" w:rsidP="00EF01BD">
      <w:pPr>
        <w:spacing w:before="75" w:line="208" w:lineRule="auto"/>
        <w:ind w:left="1843" w:right="1057" w:hanging="6"/>
        <w:jc w:val="center"/>
        <w:rPr>
          <w:color w:val="FFFFFF"/>
          <w:sz w:val="48"/>
        </w:rPr>
      </w:pPr>
      <w:r>
        <w:rPr>
          <w:color w:val="FFFFFF"/>
          <w:sz w:val="48"/>
        </w:rPr>
        <w:t xml:space="preserve">ACGR Guidelines for </w:t>
      </w:r>
      <w:r w:rsidR="00EF01BD">
        <w:rPr>
          <w:color w:val="FFFFFF"/>
          <w:sz w:val="48"/>
        </w:rPr>
        <w:t>Tracking Graduate Research Candidates</w:t>
      </w:r>
    </w:p>
    <w:p w14:paraId="143DDA97" w14:textId="77777777" w:rsidR="00F95239" w:rsidRDefault="00F95239" w:rsidP="00EF01BD">
      <w:pPr>
        <w:spacing w:before="75" w:line="208" w:lineRule="auto"/>
        <w:ind w:left="1843" w:right="1057" w:hanging="6"/>
        <w:jc w:val="center"/>
        <w:rPr>
          <w:sz w:val="48"/>
        </w:rPr>
      </w:pPr>
    </w:p>
    <w:p w14:paraId="2C451F4A" w14:textId="77777777" w:rsidR="00F95239" w:rsidRDefault="00232453" w:rsidP="00F95239">
      <w:pPr>
        <w:ind w:left="1276" w:right="669"/>
        <w:rPr>
          <w:color w:val="FFFFFF"/>
          <w:sz w:val="24"/>
        </w:rPr>
      </w:pPr>
      <w:r>
        <w:rPr>
          <w:noProof/>
          <w:lang w:bidi="ar-SA"/>
        </w:rPr>
        <w:drawing>
          <wp:anchor distT="0" distB="0" distL="114300" distR="114300" simplePos="0" relativeHeight="503313576" behindDoc="0" locked="0" layoutInCell="1" allowOverlap="1" wp14:anchorId="2EC7A853" wp14:editId="2AC7274F">
            <wp:simplePos x="0" y="0"/>
            <wp:positionH relativeFrom="column">
              <wp:posOffset>2794030</wp:posOffset>
            </wp:positionH>
            <wp:positionV relativeFrom="paragraph">
              <wp:posOffset>7220807</wp:posOffset>
            </wp:positionV>
            <wp:extent cx="1395125" cy="10149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125" cy="1014953"/>
                    </a:xfrm>
                    <a:prstGeom prst="rect">
                      <a:avLst/>
                    </a:prstGeom>
                  </pic:spPr>
                </pic:pic>
              </a:graphicData>
            </a:graphic>
            <wp14:sizeRelH relativeFrom="page">
              <wp14:pctWidth>0</wp14:pctWidth>
            </wp14:sizeRelH>
            <wp14:sizeRelV relativeFrom="page">
              <wp14:pctHeight>0</wp14:pctHeight>
            </wp14:sizeRelV>
          </wp:anchor>
        </w:drawing>
      </w:r>
      <w:r w:rsidR="00E10C0B">
        <w:rPr>
          <w:color w:val="FFFFFF"/>
          <w:sz w:val="24"/>
        </w:rPr>
        <w:t xml:space="preserve">These Guidelines should be read in association with the </w:t>
      </w:r>
      <w:r w:rsidR="001B313B">
        <w:rPr>
          <w:color w:val="FFFFFF"/>
          <w:sz w:val="24"/>
        </w:rPr>
        <w:t xml:space="preserve">Australian </w:t>
      </w:r>
      <w:r w:rsidR="00E10C0B">
        <w:rPr>
          <w:color w:val="FFFFFF"/>
          <w:sz w:val="24"/>
        </w:rPr>
        <w:t>Graduate Research Good Practice</w:t>
      </w:r>
      <w:r w:rsidR="00F95239">
        <w:rPr>
          <w:color w:val="FFFFFF"/>
          <w:sz w:val="24"/>
        </w:rPr>
        <w:t xml:space="preserve"> Principles</w:t>
      </w:r>
    </w:p>
    <w:p w14:paraId="695E6C00" w14:textId="77777777" w:rsidR="00F95239" w:rsidRDefault="00F95239" w:rsidP="00F95239">
      <w:pPr>
        <w:rPr>
          <w:color w:val="FFFFFF"/>
          <w:sz w:val="24"/>
        </w:rPr>
      </w:pPr>
    </w:p>
    <w:p w14:paraId="66623036" w14:textId="77777777" w:rsidR="00F95239" w:rsidRDefault="00F95239" w:rsidP="00F95239">
      <w:pPr>
        <w:rPr>
          <w:color w:val="FFFFFF"/>
          <w:sz w:val="24"/>
        </w:rPr>
      </w:pPr>
    </w:p>
    <w:p w14:paraId="5FE07D41" w14:textId="77777777" w:rsidR="00F95239" w:rsidRDefault="00F95239" w:rsidP="00F95239">
      <w:pPr>
        <w:rPr>
          <w:color w:val="FFFFFF"/>
          <w:sz w:val="24"/>
        </w:rPr>
      </w:pPr>
    </w:p>
    <w:p w14:paraId="6B040D44" w14:textId="2846C4CA" w:rsidR="00F95239" w:rsidRPr="00F95239" w:rsidRDefault="00E10C0B" w:rsidP="003D2424">
      <w:pPr>
        <w:ind w:left="284"/>
        <w:jc w:val="center"/>
        <w:rPr>
          <w:rFonts w:ascii="Times New Roman" w:eastAsia="Times New Roman" w:hAnsi="Times New Roman" w:cs="Times New Roman"/>
          <w:sz w:val="24"/>
          <w:szCs w:val="24"/>
          <w:lang w:bidi="ar-SA"/>
        </w:rPr>
      </w:pPr>
      <w:r>
        <w:rPr>
          <w:color w:val="FFFFFF"/>
          <w:sz w:val="24"/>
        </w:rPr>
        <w:t>.</w:t>
      </w:r>
      <w:r w:rsidR="003D2424" w:rsidRPr="003D2424">
        <w:rPr>
          <w:rFonts w:ascii="Times New Roman" w:eastAsia="Times New Roman" w:hAnsi="Times New Roman" w:cs="Times New Roman"/>
          <w:noProof/>
          <w:sz w:val="24"/>
          <w:szCs w:val="24"/>
          <w:lang w:bidi="ar-SA"/>
        </w:rPr>
        <w:t xml:space="preserve"> </w:t>
      </w:r>
      <w:r w:rsidR="003D2424" w:rsidRPr="003D2424">
        <w:rPr>
          <w:rFonts w:ascii="Times New Roman" w:eastAsia="Times New Roman" w:hAnsi="Times New Roman" w:cs="Times New Roman"/>
          <w:noProof/>
          <w:sz w:val="24"/>
          <w:szCs w:val="24"/>
          <w:lang w:bidi="ar-SA"/>
        </w:rPr>
        <w:drawing>
          <wp:inline distT="0" distB="0" distL="0" distR="0" wp14:anchorId="49306BD5" wp14:editId="78F8242F">
            <wp:extent cx="6138334" cy="2447925"/>
            <wp:effectExtent l="0" t="0" r="0" b="0"/>
            <wp:docPr id="1" name="Picture 1" descr="tudent and supervisor talking with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ent and supervisor talking with laptop"/>
                    <pic:cNvPicPr>
                      <a:picLocks noChangeAspect="1" noChangeArrowheads="1"/>
                    </pic:cNvPicPr>
                  </pic:nvPicPr>
                  <pic:blipFill rotWithShape="1">
                    <a:blip r:embed="rId9">
                      <a:extLst>
                        <a:ext uri="{28A0092B-C50C-407E-A947-70E740481C1C}">
                          <a14:useLocalDpi xmlns:a14="http://schemas.microsoft.com/office/drawing/2010/main" val="0"/>
                        </a:ext>
                      </a:extLst>
                    </a:blip>
                    <a:srcRect l="7436" r="6938"/>
                    <a:stretch/>
                  </pic:blipFill>
                  <pic:spPr bwMode="auto">
                    <a:xfrm>
                      <a:off x="0" y="0"/>
                      <a:ext cx="6138334" cy="2447925"/>
                    </a:xfrm>
                    <a:prstGeom prst="rect">
                      <a:avLst/>
                    </a:prstGeom>
                    <a:noFill/>
                    <a:ln>
                      <a:noFill/>
                    </a:ln>
                    <a:extLst>
                      <a:ext uri="{53640926-AAD7-44D8-BBD7-CCE9431645EC}">
                        <a14:shadowObscured xmlns:a14="http://schemas.microsoft.com/office/drawing/2010/main"/>
                      </a:ext>
                    </a:extLst>
                  </pic:spPr>
                </pic:pic>
              </a:graphicData>
            </a:graphic>
          </wp:inline>
        </w:drawing>
      </w:r>
      <w:r w:rsidR="00F95239" w:rsidRPr="00F95239">
        <w:rPr>
          <w:rFonts w:eastAsia="Times New Roman"/>
        </w:rPr>
        <w:t xml:space="preserve"> </w:t>
      </w:r>
    </w:p>
    <w:p w14:paraId="137DF0D0" w14:textId="5882BE30" w:rsidR="00080424" w:rsidRDefault="00080424" w:rsidP="001B313B">
      <w:pPr>
        <w:spacing w:before="298" w:line="201" w:lineRule="auto"/>
        <w:ind w:left="2127" w:right="1030"/>
        <w:jc w:val="both"/>
        <w:rPr>
          <w:color w:val="FFFFFF"/>
          <w:sz w:val="24"/>
        </w:rPr>
      </w:pPr>
    </w:p>
    <w:p w14:paraId="0FB772F4" w14:textId="77777777" w:rsidR="00F95239" w:rsidRDefault="00F95239" w:rsidP="001B313B">
      <w:pPr>
        <w:spacing w:before="298" w:line="201" w:lineRule="auto"/>
        <w:ind w:left="2127" w:right="1030"/>
        <w:jc w:val="both"/>
        <w:rPr>
          <w:color w:val="FFFFFF"/>
          <w:sz w:val="24"/>
        </w:rPr>
      </w:pPr>
    </w:p>
    <w:p w14:paraId="38024203" w14:textId="77777777" w:rsidR="00F95239" w:rsidRDefault="00F95239" w:rsidP="001B313B">
      <w:pPr>
        <w:spacing w:before="298" w:line="201" w:lineRule="auto"/>
        <w:ind w:left="2127" w:right="1030"/>
        <w:jc w:val="both"/>
        <w:rPr>
          <w:color w:val="FFFFFF"/>
          <w:sz w:val="24"/>
        </w:rPr>
      </w:pPr>
    </w:p>
    <w:p w14:paraId="49AB31CC" w14:textId="77777777" w:rsidR="00F95239" w:rsidRDefault="00F95239" w:rsidP="001B313B">
      <w:pPr>
        <w:spacing w:before="298" w:line="201" w:lineRule="auto"/>
        <w:ind w:left="2127" w:right="1030"/>
        <w:jc w:val="both"/>
        <w:rPr>
          <w:sz w:val="24"/>
        </w:rPr>
      </w:pPr>
    </w:p>
    <w:p w14:paraId="618C0AD7" w14:textId="4A3C7DA2" w:rsidR="00080424" w:rsidRDefault="00080424">
      <w:pPr>
        <w:spacing w:line="201" w:lineRule="auto"/>
        <w:rPr>
          <w:sz w:val="24"/>
        </w:rPr>
        <w:sectPr w:rsidR="00080424">
          <w:type w:val="continuous"/>
          <w:pgSz w:w="11910" w:h="16840"/>
          <w:pgMar w:top="1580" w:right="1080" w:bottom="280" w:left="380" w:header="720" w:footer="720" w:gutter="0"/>
          <w:cols w:space="720"/>
        </w:sectPr>
      </w:pPr>
    </w:p>
    <w:p w14:paraId="5488CB8C" w14:textId="0453F56C" w:rsidR="00080424" w:rsidRDefault="00E10C0B">
      <w:pPr>
        <w:tabs>
          <w:tab w:val="left" w:pos="428"/>
        </w:tabs>
        <w:spacing w:before="38"/>
        <w:ind w:left="101"/>
        <w:rPr>
          <w:rFonts w:ascii="Uni Sans Light"/>
          <w:sz w:val="16"/>
        </w:rPr>
      </w:pPr>
      <w:r>
        <w:rPr>
          <w:rFonts w:ascii="Uni Sans Light"/>
          <w:color w:val="0096DB"/>
          <w:sz w:val="16"/>
        </w:rPr>
        <w:lastRenderedPageBreak/>
        <w:t>2</w:t>
      </w:r>
      <w:r>
        <w:rPr>
          <w:rFonts w:ascii="Uni Sans Light"/>
          <w:color w:val="0096DB"/>
          <w:sz w:val="16"/>
        </w:rPr>
        <w:tab/>
      </w:r>
      <w:r>
        <w:rPr>
          <w:rFonts w:ascii="Uni Sans Light"/>
          <w:color w:val="231F20"/>
          <w:sz w:val="16"/>
        </w:rPr>
        <w:t xml:space="preserve">ACGR Guidelines for </w:t>
      </w:r>
      <w:r w:rsidR="001B313B">
        <w:rPr>
          <w:rFonts w:ascii="Uni Sans Light"/>
          <w:color w:val="231F20"/>
          <w:sz w:val="16"/>
        </w:rPr>
        <w:t>Tracking Graduate Research Candidates</w:t>
      </w:r>
    </w:p>
    <w:p w14:paraId="1EF593DA" w14:textId="77777777" w:rsidR="00080424" w:rsidRDefault="00080424">
      <w:pPr>
        <w:pStyle w:val="BodyText"/>
        <w:rPr>
          <w:rFonts w:ascii="Uni Sans Light"/>
        </w:rPr>
      </w:pPr>
    </w:p>
    <w:p w14:paraId="4E35CB71" w14:textId="77777777" w:rsidR="00080424" w:rsidRDefault="00080424">
      <w:pPr>
        <w:pStyle w:val="BodyText"/>
        <w:rPr>
          <w:rFonts w:ascii="Uni Sans Light"/>
        </w:rPr>
      </w:pPr>
    </w:p>
    <w:p w14:paraId="00CA7F34" w14:textId="77777777" w:rsidR="00080424" w:rsidRDefault="00080424">
      <w:pPr>
        <w:pStyle w:val="BodyText"/>
        <w:rPr>
          <w:rFonts w:ascii="Uni Sans Light"/>
        </w:rPr>
      </w:pPr>
    </w:p>
    <w:p w14:paraId="737E9680" w14:textId="77777777" w:rsidR="00080424" w:rsidRDefault="00080424">
      <w:pPr>
        <w:pStyle w:val="BodyText"/>
        <w:rPr>
          <w:rFonts w:ascii="Uni Sans Light"/>
        </w:rPr>
      </w:pPr>
    </w:p>
    <w:p w14:paraId="5A609793" w14:textId="77777777" w:rsidR="00080424" w:rsidRDefault="00080424">
      <w:pPr>
        <w:pStyle w:val="BodyText"/>
        <w:rPr>
          <w:rFonts w:ascii="Uni Sans Light"/>
        </w:rPr>
      </w:pPr>
    </w:p>
    <w:p w14:paraId="46A3B725" w14:textId="77777777" w:rsidR="00080424" w:rsidRDefault="00080424">
      <w:pPr>
        <w:pStyle w:val="BodyText"/>
        <w:rPr>
          <w:rFonts w:ascii="Uni Sans Light"/>
        </w:rPr>
      </w:pPr>
    </w:p>
    <w:p w14:paraId="11B5F0FE" w14:textId="77777777" w:rsidR="00080424" w:rsidRDefault="00080424">
      <w:pPr>
        <w:pStyle w:val="BodyText"/>
        <w:rPr>
          <w:rFonts w:ascii="Uni Sans Light"/>
        </w:rPr>
      </w:pPr>
    </w:p>
    <w:p w14:paraId="0BEAFEFE" w14:textId="77777777" w:rsidR="00080424" w:rsidRDefault="00080424">
      <w:pPr>
        <w:pStyle w:val="BodyText"/>
        <w:rPr>
          <w:rFonts w:ascii="Uni Sans Light"/>
        </w:rPr>
      </w:pPr>
    </w:p>
    <w:p w14:paraId="51450B06" w14:textId="77777777" w:rsidR="00080424" w:rsidRDefault="00080424">
      <w:pPr>
        <w:pStyle w:val="BodyText"/>
        <w:rPr>
          <w:rFonts w:ascii="Uni Sans Light"/>
        </w:rPr>
      </w:pPr>
    </w:p>
    <w:p w14:paraId="60C4BA39" w14:textId="77777777" w:rsidR="00080424" w:rsidRDefault="00080424">
      <w:pPr>
        <w:pStyle w:val="BodyText"/>
        <w:spacing w:before="9"/>
        <w:rPr>
          <w:rFonts w:ascii="Uni Sans Light"/>
          <w:sz w:val="16"/>
        </w:rPr>
      </w:pPr>
    </w:p>
    <w:p w14:paraId="7628FCC3" w14:textId="77777777" w:rsidR="00080424" w:rsidRDefault="00E10C0B" w:rsidP="001B313B">
      <w:pPr>
        <w:pStyle w:val="Heading1"/>
        <w:ind w:left="1701" w:hanging="283"/>
      </w:pPr>
      <w:r>
        <w:rPr>
          <w:color w:val="0097DB"/>
        </w:rPr>
        <w:t>Preamble</w:t>
      </w:r>
    </w:p>
    <w:p w14:paraId="3F176614" w14:textId="77777777" w:rsidR="001B313B" w:rsidRPr="00164BAB" w:rsidRDefault="001B313B" w:rsidP="0045564F">
      <w:pPr>
        <w:spacing w:before="171" w:line="360" w:lineRule="auto"/>
        <w:ind w:left="1701" w:right="1791" w:hanging="283"/>
        <w:jc w:val="both"/>
        <w:rPr>
          <w:rFonts w:asciiTheme="minorHAnsi" w:hAnsiTheme="minorHAnsi"/>
          <w:color w:val="231F20"/>
        </w:rPr>
      </w:pPr>
      <w:r w:rsidRPr="00164BAB">
        <w:rPr>
          <w:rFonts w:asciiTheme="minorHAnsi" w:hAnsiTheme="minorHAnsi"/>
          <w:iCs/>
          <w:color w:val="231F20"/>
        </w:rPr>
        <w:t>ACGR recognises the importance of effectively tracking research candidates during candidature and following graduation</w:t>
      </w:r>
      <w:r w:rsidRPr="00164BAB">
        <w:rPr>
          <w:rFonts w:asciiTheme="minorHAnsi" w:hAnsiTheme="minorHAnsi"/>
          <w:color w:val="231F20"/>
        </w:rPr>
        <w:t>.</w:t>
      </w:r>
    </w:p>
    <w:p w14:paraId="7FB3F171" w14:textId="77777777" w:rsidR="001B313B" w:rsidRPr="00164BAB" w:rsidRDefault="001B313B" w:rsidP="0045564F">
      <w:pPr>
        <w:numPr>
          <w:ilvl w:val="0"/>
          <w:numId w:val="3"/>
        </w:numPr>
        <w:spacing w:before="171" w:line="360" w:lineRule="auto"/>
        <w:ind w:left="1701" w:right="1791" w:hanging="283"/>
        <w:jc w:val="both"/>
        <w:rPr>
          <w:rFonts w:asciiTheme="minorHAnsi" w:hAnsiTheme="minorHAnsi"/>
          <w:color w:val="231F20"/>
          <w:lang w:val="en-AU"/>
        </w:rPr>
      </w:pPr>
      <w:r w:rsidRPr="00164BAB">
        <w:rPr>
          <w:rFonts w:asciiTheme="minorHAnsi" w:hAnsiTheme="minorHAnsi"/>
          <w:color w:val="231F20"/>
          <w:lang w:val="en-AU"/>
        </w:rPr>
        <w:t xml:space="preserve">Individual graduate research candidate progress is monitored during candidature to ensure the provision of appropriate support to facilitate successful and timely completion and to ensure graduate researcher development and welfare. </w:t>
      </w:r>
    </w:p>
    <w:p w14:paraId="354276A2" w14:textId="77777777" w:rsidR="001B313B" w:rsidRPr="00164BAB" w:rsidRDefault="001B313B" w:rsidP="0045564F">
      <w:pPr>
        <w:numPr>
          <w:ilvl w:val="0"/>
          <w:numId w:val="3"/>
        </w:numPr>
        <w:spacing w:before="171" w:line="360" w:lineRule="auto"/>
        <w:ind w:left="1701" w:right="1791" w:hanging="283"/>
        <w:jc w:val="both"/>
        <w:rPr>
          <w:rFonts w:asciiTheme="minorHAnsi" w:hAnsiTheme="minorHAnsi"/>
          <w:color w:val="231F20"/>
          <w:lang w:val="en-AU"/>
        </w:rPr>
      </w:pPr>
      <w:r w:rsidRPr="00164BAB">
        <w:rPr>
          <w:rFonts w:asciiTheme="minorHAnsi" w:hAnsiTheme="minorHAnsi"/>
          <w:color w:val="231F20"/>
          <w:lang w:val="en-AU"/>
        </w:rPr>
        <w:t xml:space="preserve">Graduate research candidate cohort tracking is completed to enhance and develop opportunities and facilities for all candidates. </w:t>
      </w:r>
    </w:p>
    <w:p w14:paraId="51CE04FC" w14:textId="77777777" w:rsidR="001B313B" w:rsidRPr="00164BAB" w:rsidRDefault="001B313B" w:rsidP="0045564F">
      <w:pPr>
        <w:numPr>
          <w:ilvl w:val="0"/>
          <w:numId w:val="3"/>
        </w:numPr>
        <w:spacing w:before="171" w:line="360" w:lineRule="auto"/>
        <w:ind w:left="1701" w:right="1791" w:hanging="283"/>
        <w:jc w:val="both"/>
        <w:rPr>
          <w:rFonts w:asciiTheme="minorHAnsi" w:hAnsiTheme="minorHAnsi"/>
          <w:color w:val="231F20"/>
          <w:lang w:val="en-AU"/>
        </w:rPr>
      </w:pPr>
      <w:r w:rsidRPr="00164BAB">
        <w:rPr>
          <w:rFonts w:asciiTheme="minorHAnsi" w:hAnsiTheme="minorHAnsi"/>
          <w:color w:val="231F20"/>
          <w:lang w:val="en-AU"/>
        </w:rPr>
        <w:t>Tracking graduate research candidates after graduation facilitates the provision of strong career guidance to current and future graduate research candidates and maintains a link with alumni.</w:t>
      </w:r>
    </w:p>
    <w:p w14:paraId="494BD1CC" w14:textId="0F3D55F6" w:rsidR="00080424" w:rsidRDefault="00E10C0B" w:rsidP="001B313B">
      <w:pPr>
        <w:spacing w:before="171" w:line="220" w:lineRule="auto"/>
        <w:ind w:left="2355" w:right="1791"/>
        <w:jc w:val="both"/>
      </w:pPr>
      <w:r>
        <w:rPr>
          <w:color w:val="231F20"/>
        </w:rPr>
        <w:t>.</w:t>
      </w:r>
    </w:p>
    <w:p w14:paraId="7CBC4D08" w14:textId="77777777" w:rsidR="00080424" w:rsidRDefault="00080424" w:rsidP="001B313B">
      <w:pPr>
        <w:spacing w:line="220" w:lineRule="auto"/>
        <w:jc w:val="both"/>
        <w:sectPr w:rsidR="00080424">
          <w:pgSz w:w="11910" w:h="16840"/>
          <w:pgMar w:top="320" w:right="1080" w:bottom="280" w:left="380" w:header="720" w:footer="720" w:gutter="0"/>
          <w:cols w:space="720"/>
        </w:sectPr>
      </w:pPr>
    </w:p>
    <w:p w14:paraId="5EE42883" w14:textId="77777777" w:rsidR="00080424" w:rsidRDefault="00E10C0B">
      <w:pPr>
        <w:spacing w:before="38"/>
        <w:ind w:right="136"/>
        <w:jc w:val="right"/>
        <w:rPr>
          <w:rFonts w:ascii="Uni Sans Light"/>
          <w:sz w:val="16"/>
        </w:rPr>
      </w:pPr>
      <w:r>
        <w:rPr>
          <w:color w:val="0096DB"/>
          <w:sz w:val="16"/>
        </w:rPr>
        <w:lastRenderedPageBreak/>
        <w:t xml:space="preserve">Australian Council of Graduate Research </w:t>
      </w:r>
      <w:r>
        <w:rPr>
          <w:rFonts w:ascii="Uni Sans Light"/>
          <w:color w:val="0096DB"/>
          <w:sz w:val="16"/>
        </w:rPr>
        <w:t>- 3</w:t>
      </w:r>
    </w:p>
    <w:p w14:paraId="71F30620" w14:textId="77777777" w:rsidR="00080424" w:rsidRDefault="00080424">
      <w:pPr>
        <w:pStyle w:val="BodyText"/>
        <w:rPr>
          <w:rFonts w:ascii="Uni Sans Light"/>
          <w:sz w:val="20"/>
        </w:rPr>
      </w:pPr>
    </w:p>
    <w:p w14:paraId="2B87DEE2" w14:textId="77777777" w:rsidR="00080424" w:rsidRDefault="00080424">
      <w:pPr>
        <w:pStyle w:val="BodyText"/>
        <w:rPr>
          <w:rFonts w:ascii="Uni Sans Light"/>
          <w:sz w:val="20"/>
        </w:rPr>
      </w:pPr>
    </w:p>
    <w:p w14:paraId="167E3C60" w14:textId="77777777" w:rsidR="00080424" w:rsidRDefault="00080424">
      <w:pPr>
        <w:pStyle w:val="BodyText"/>
        <w:spacing w:before="6"/>
        <w:rPr>
          <w:rFonts w:ascii="Uni Sans Light"/>
        </w:rPr>
      </w:pPr>
    </w:p>
    <w:p w14:paraId="03DEF22A" w14:textId="77777777" w:rsidR="00080424" w:rsidRDefault="00E10C0B">
      <w:pPr>
        <w:pStyle w:val="Heading1"/>
        <w:spacing w:before="3"/>
      </w:pPr>
      <w:r>
        <w:rPr>
          <w:color w:val="0097DB"/>
        </w:rPr>
        <w:t>The ACGR recommends that:</w:t>
      </w:r>
    </w:p>
    <w:p w14:paraId="7A8AD3E9" w14:textId="2F6F1839" w:rsidR="00080424" w:rsidRDefault="00080424">
      <w:pPr>
        <w:rPr>
          <w:rFonts w:ascii="Uni Sans Light"/>
          <w:sz w:val="19"/>
        </w:rPr>
        <w:sectPr w:rsidR="00080424">
          <w:pgSz w:w="11910" w:h="16840"/>
          <w:pgMar w:top="320" w:right="1080" w:bottom="280" w:left="380" w:header="720" w:footer="720" w:gutter="0"/>
          <w:cols w:space="720"/>
        </w:sectPr>
      </w:pPr>
    </w:p>
    <w:p w14:paraId="0FDC686D" w14:textId="5DBC6929" w:rsidR="001B313B" w:rsidRPr="001B313B" w:rsidRDefault="001B313B" w:rsidP="001B313B">
      <w:pPr>
        <w:pStyle w:val="BodyText"/>
        <w:rPr>
          <w:rFonts w:ascii="Uni Sans SemiBold" w:eastAsia="Uni Sans SemiBold" w:hAnsi="Uni Sans SemiBold" w:cs="Uni Sans SemiBold"/>
          <w:b/>
          <w:bCs/>
          <w:color w:val="231F20"/>
          <w:lang w:val="en-AU"/>
        </w:rPr>
      </w:pPr>
    </w:p>
    <w:p w14:paraId="159EC9F5"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lang w:val="en-AU"/>
        </w:rPr>
      </w:pPr>
      <w:r w:rsidRPr="00164BAB">
        <w:rPr>
          <w:rFonts w:asciiTheme="minorHAnsi" w:eastAsia="Uni Sans SemiBold" w:hAnsiTheme="minorHAnsi" w:cs="Uni Sans SemiBold"/>
          <w:bCs/>
          <w:color w:val="231F20"/>
          <w:sz w:val="22"/>
          <w:szCs w:val="22"/>
          <w:lang w:val="en-AU"/>
        </w:rPr>
        <w:t>Monitoring of individual candidate progress is conducted at least annually with appropriate feedback, support and intervention provided in response. Both candidates and supervisors should contribute to these reviews.</w:t>
      </w:r>
    </w:p>
    <w:p w14:paraId="07B683DD"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lang w:val="en-AU"/>
        </w:rPr>
      </w:pPr>
      <w:r w:rsidRPr="00164BAB">
        <w:rPr>
          <w:rFonts w:asciiTheme="minorHAnsi" w:eastAsia="Uni Sans SemiBold" w:hAnsiTheme="minorHAnsi" w:cs="Uni Sans SemiBold"/>
          <w:bCs/>
          <w:color w:val="231F20"/>
          <w:sz w:val="22"/>
          <w:szCs w:val="22"/>
          <w:lang w:val="en-AU"/>
        </w:rPr>
        <w:t>Established milestones (e.g., confirmation) are set against which candidate progress can be assessed.</w:t>
      </w:r>
    </w:p>
    <w:p w14:paraId="7FED702D"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lang w:val="en-AU"/>
        </w:rPr>
      </w:pPr>
      <w:r w:rsidRPr="00164BAB">
        <w:rPr>
          <w:rFonts w:asciiTheme="minorHAnsi" w:eastAsia="Uni Sans SemiBold" w:hAnsiTheme="minorHAnsi" w:cs="Uni Sans SemiBold"/>
          <w:bCs/>
          <w:color w:val="231F20"/>
          <w:sz w:val="22"/>
          <w:szCs w:val="22"/>
          <w:lang w:val="en-AU"/>
        </w:rPr>
        <w:t>Monitoring of the broader graduate research experience, through cohort based surveys and other mechanisms is an important developmental exercise to inform the enhancement of the experience for current and future cohorts of graduate research candidates. A feedback loop to graduate research candidates identifies comments received and actions taken in response.</w:t>
      </w:r>
    </w:p>
    <w:p w14:paraId="52F565B5"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lang w:val="en-AU"/>
        </w:rPr>
      </w:pPr>
      <w:r w:rsidRPr="00164BAB">
        <w:rPr>
          <w:rFonts w:asciiTheme="minorHAnsi" w:eastAsia="Uni Sans SemiBold" w:hAnsiTheme="minorHAnsi" w:cs="Uni Sans SemiBold"/>
          <w:bCs/>
          <w:color w:val="231F20"/>
          <w:sz w:val="22"/>
          <w:szCs w:val="22"/>
          <w:lang w:val="en-AU"/>
        </w:rPr>
        <w:t>Monitoring includes consideration of academic and non-academic issues, including candidate welfare and the student-supervisor relationship.</w:t>
      </w:r>
    </w:p>
    <w:p w14:paraId="2B4BB83B"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lang w:val="en-AU"/>
        </w:rPr>
      </w:pPr>
      <w:r w:rsidRPr="00164BAB">
        <w:rPr>
          <w:rFonts w:asciiTheme="minorHAnsi" w:eastAsia="Uni Sans SemiBold" w:hAnsiTheme="minorHAnsi" w:cs="Uni Sans SemiBold"/>
          <w:bCs/>
          <w:color w:val="231F20"/>
          <w:sz w:val="22"/>
          <w:szCs w:val="22"/>
          <w:lang w:val="en-AU"/>
        </w:rPr>
        <w:t>Universities track the research outputs produced during and after candidature including publication and creative works and other contributions to the research and engagement agendas of their institutions.</w:t>
      </w:r>
    </w:p>
    <w:p w14:paraId="12E7835B"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lang w:val="en-AU"/>
        </w:rPr>
      </w:pPr>
      <w:r w:rsidRPr="00164BAB">
        <w:rPr>
          <w:rFonts w:asciiTheme="minorHAnsi" w:eastAsia="Uni Sans SemiBold" w:hAnsiTheme="minorHAnsi" w:cs="Uni Sans SemiBold"/>
          <w:bCs/>
          <w:color w:val="231F20"/>
          <w:sz w:val="22"/>
          <w:szCs w:val="22"/>
          <w:lang w:val="en-AU"/>
        </w:rPr>
        <w:t>Universities conduct exit/completions surveys to complement those conducted during candidature. The added value is purpose is gain insights into the completion and submission experience and/or to identify and mitigate reasons for candidate withdrawal prior to qualification completion.</w:t>
      </w:r>
    </w:p>
    <w:p w14:paraId="56A6FE51"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lang w:val="en-AU"/>
        </w:rPr>
      </w:pPr>
      <w:r w:rsidRPr="00164BAB">
        <w:rPr>
          <w:rFonts w:asciiTheme="minorHAnsi" w:eastAsia="Uni Sans SemiBold" w:hAnsiTheme="minorHAnsi" w:cs="Uni Sans SemiBold"/>
          <w:bCs/>
          <w:color w:val="231F20"/>
          <w:sz w:val="22"/>
          <w:szCs w:val="22"/>
          <w:lang w:val="en-AU"/>
        </w:rPr>
        <w:t>Universities track the progress of graduate research candidate alumni. Tracking includes career tracking, reflections on graduate research candidature and skill acquisition. Such tracking can facilitate career advice and development for current and future graduate research candidates, provide opportunities for professional networking and mentorship and provide valuable insights and benefits for the institution.</w:t>
      </w:r>
    </w:p>
    <w:p w14:paraId="5F775579" w14:textId="77777777" w:rsidR="001B313B" w:rsidRPr="00164BAB" w:rsidRDefault="001B313B" w:rsidP="001B313B">
      <w:pPr>
        <w:pStyle w:val="BodyText"/>
        <w:numPr>
          <w:ilvl w:val="0"/>
          <w:numId w:val="4"/>
        </w:numPr>
        <w:spacing w:before="100" w:beforeAutospacing="1" w:after="100" w:afterAutospacing="1" w:line="360" w:lineRule="auto"/>
        <w:ind w:left="1843" w:right="669" w:hanging="425"/>
        <w:jc w:val="both"/>
        <w:rPr>
          <w:rFonts w:asciiTheme="minorHAnsi" w:eastAsia="Uni Sans SemiBold" w:hAnsiTheme="minorHAnsi" w:cs="Uni Sans SemiBold"/>
          <w:bCs/>
          <w:color w:val="231F20"/>
          <w:sz w:val="22"/>
          <w:szCs w:val="22"/>
        </w:rPr>
      </w:pPr>
      <w:r w:rsidRPr="00164BAB">
        <w:rPr>
          <w:rFonts w:asciiTheme="minorHAnsi" w:eastAsia="Uni Sans SemiBold" w:hAnsiTheme="minorHAnsi" w:cs="Uni Sans SemiBold"/>
          <w:bCs/>
          <w:color w:val="231F20"/>
          <w:sz w:val="22"/>
          <w:szCs w:val="22"/>
          <w:lang w:val="en-AU"/>
        </w:rPr>
        <w:t xml:space="preserve">Wherever possible the monitoring of current and graduated candidates take consideration of demographic characteristics such </w:t>
      </w:r>
      <w:r w:rsidRPr="00164BAB">
        <w:rPr>
          <w:rFonts w:asciiTheme="minorHAnsi" w:eastAsia="Uni Sans SemiBold" w:hAnsiTheme="minorHAnsi" w:cs="Uni Sans SemiBold"/>
          <w:bCs/>
          <w:color w:val="231F20"/>
          <w:sz w:val="22"/>
          <w:szCs w:val="22"/>
        </w:rPr>
        <w:t xml:space="preserve">gender, citizenship, enrolments status and equity groupings to better understand the experiences of particular cohorts. </w:t>
      </w:r>
    </w:p>
    <w:p w14:paraId="0A721225" w14:textId="77777777" w:rsidR="00080424" w:rsidRPr="001B313B" w:rsidRDefault="00080424" w:rsidP="001B313B">
      <w:pPr>
        <w:pStyle w:val="BodyText"/>
        <w:ind w:right="669"/>
        <w:jc w:val="both"/>
        <w:rPr>
          <w:sz w:val="24"/>
          <w:szCs w:val="24"/>
        </w:rPr>
      </w:pPr>
    </w:p>
    <w:p w14:paraId="552ED31B" w14:textId="77777777" w:rsidR="00080424" w:rsidRPr="001B313B" w:rsidRDefault="00080424" w:rsidP="001B313B">
      <w:pPr>
        <w:pStyle w:val="BodyText"/>
        <w:ind w:right="669"/>
        <w:jc w:val="both"/>
        <w:rPr>
          <w:sz w:val="24"/>
          <w:szCs w:val="24"/>
        </w:rPr>
      </w:pPr>
    </w:p>
    <w:p w14:paraId="00659F75" w14:textId="77777777" w:rsidR="00080424" w:rsidRPr="001B313B" w:rsidRDefault="00080424" w:rsidP="001B313B">
      <w:pPr>
        <w:pStyle w:val="BodyText"/>
        <w:ind w:right="669"/>
        <w:jc w:val="both"/>
        <w:rPr>
          <w:sz w:val="24"/>
          <w:szCs w:val="24"/>
        </w:rPr>
      </w:pPr>
    </w:p>
    <w:p w14:paraId="55A30D84" w14:textId="77777777" w:rsidR="00080424" w:rsidRPr="001B313B" w:rsidRDefault="00080424" w:rsidP="001B313B">
      <w:pPr>
        <w:pStyle w:val="BodyText"/>
        <w:ind w:right="669"/>
        <w:jc w:val="both"/>
        <w:rPr>
          <w:sz w:val="24"/>
          <w:szCs w:val="24"/>
        </w:rPr>
      </w:pPr>
    </w:p>
    <w:p w14:paraId="6B4A5BC4" w14:textId="77777777" w:rsidR="00080424" w:rsidRDefault="00080424">
      <w:pPr>
        <w:pStyle w:val="BodyText"/>
        <w:rPr>
          <w:sz w:val="20"/>
        </w:rPr>
      </w:pPr>
    </w:p>
    <w:p w14:paraId="1EAF5C20" w14:textId="77777777" w:rsidR="00080424" w:rsidRDefault="00080424">
      <w:pPr>
        <w:pStyle w:val="BodyText"/>
        <w:rPr>
          <w:sz w:val="20"/>
        </w:rPr>
      </w:pPr>
    </w:p>
    <w:p w14:paraId="486DFD15" w14:textId="77777777" w:rsidR="00080424" w:rsidRDefault="00080424">
      <w:pPr>
        <w:pStyle w:val="BodyText"/>
        <w:spacing w:before="3"/>
        <w:rPr>
          <w:sz w:val="26"/>
        </w:rPr>
      </w:pPr>
    </w:p>
    <w:p w14:paraId="3E92F714" w14:textId="29F09290" w:rsidR="00080424" w:rsidRDefault="00164BAB">
      <w:pPr>
        <w:spacing w:before="56"/>
        <w:ind w:left="1207"/>
        <w:rPr>
          <w:rFonts w:ascii="Uni Sans Light"/>
          <w:sz w:val="20"/>
        </w:rPr>
      </w:pPr>
      <w:r>
        <w:rPr>
          <w:rFonts w:ascii="Uni Sans Light"/>
          <w:color w:val="0097DB"/>
          <w:sz w:val="20"/>
        </w:rPr>
        <w:t xml:space="preserve">December </w:t>
      </w:r>
      <w:r w:rsidR="00E10C0B">
        <w:rPr>
          <w:rFonts w:ascii="Uni Sans Light"/>
          <w:color w:val="0097DB"/>
          <w:sz w:val="20"/>
        </w:rPr>
        <w:t>2018</w:t>
      </w:r>
    </w:p>
    <w:p w14:paraId="271D9C0D" w14:textId="77777777" w:rsidR="00080424" w:rsidRDefault="00080424">
      <w:pPr>
        <w:rPr>
          <w:rFonts w:ascii="Uni Sans Light"/>
          <w:sz w:val="20"/>
        </w:rPr>
        <w:sectPr w:rsidR="00080424">
          <w:type w:val="continuous"/>
          <w:pgSz w:w="11910" w:h="16840"/>
          <w:pgMar w:top="1580" w:right="1080" w:bottom="280" w:left="380" w:header="720" w:footer="720" w:gutter="0"/>
          <w:cols w:space="720"/>
        </w:sectPr>
      </w:pPr>
    </w:p>
    <w:p w14:paraId="35F853C6" w14:textId="77777777" w:rsidR="00080424" w:rsidRDefault="00232453">
      <w:pPr>
        <w:pStyle w:val="BodyText"/>
        <w:spacing w:before="4"/>
        <w:rPr>
          <w:rFonts w:ascii="Times New Roman"/>
          <w:sz w:val="17"/>
        </w:rPr>
      </w:pPr>
      <w:r>
        <w:rPr>
          <w:noProof/>
          <w:lang w:bidi="ar-SA"/>
        </w:rPr>
        <w:lastRenderedPageBreak/>
        <w:drawing>
          <wp:anchor distT="0" distB="0" distL="114300" distR="114300" simplePos="0" relativeHeight="503315539" behindDoc="0" locked="0" layoutInCell="1" allowOverlap="1" wp14:anchorId="5575D820" wp14:editId="40E9B258">
            <wp:simplePos x="0" y="0"/>
            <wp:positionH relativeFrom="column">
              <wp:posOffset>2934557</wp:posOffset>
            </wp:positionH>
            <wp:positionV relativeFrom="paragraph">
              <wp:posOffset>7229239</wp:posOffset>
            </wp:positionV>
            <wp:extent cx="1395125" cy="10149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125" cy="1014953"/>
                    </a:xfrm>
                    <a:prstGeom prst="rect">
                      <a:avLst/>
                    </a:prstGeom>
                  </pic:spPr>
                </pic:pic>
              </a:graphicData>
            </a:graphic>
            <wp14:sizeRelH relativeFrom="page">
              <wp14:pctWidth>0</wp14:pctWidth>
            </wp14:sizeRelH>
            <wp14:sizeRelV relativeFrom="page">
              <wp14:pctHeight>0</wp14:pctHeight>
            </wp14:sizeRelV>
          </wp:anchor>
        </w:drawing>
      </w:r>
      <w:r w:rsidR="00D2469D">
        <w:pict w14:anchorId="50325958">
          <v:group id="_x0000_s1026" style="position:absolute;margin-left:0;margin-top:0;width:595.3pt;height:676.1pt;z-index:-3928;mso-position-horizontal-relative:page;mso-position-vertical-relative:page" coordsize="11906,13522">
            <v:shape id="_x0000_s1029" type="#_x0000_t75" style="position:absolute;width:11906;height:11849">
              <v:imagedata r:id="rId10" o:title=""/>
            </v:shape>
            <v:rect id="_x0000_s1028" style="position:absolute;width:11906;height:9922" fillcolor="#33a5c6" stroked="f">
              <v:fill opacity=".5"/>
            </v:rect>
            <v:rect id="_x0000_s1027" style="position:absolute;top:9921;width:11906;height:3600" stroked="f">
              <v:fill opacity="34078f"/>
            </v:rect>
            <w10:wrap anchorx="page" anchory="page"/>
          </v:group>
        </w:pict>
      </w:r>
    </w:p>
    <w:sectPr w:rsidR="00080424">
      <w:pgSz w:w="11910" w:h="16840"/>
      <w:pgMar w:top="1580" w:right="1080" w:bottom="280" w:left="3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E2B38F0" w14:textId="77777777" w:rsidR="00D2469D" w:rsidRDefault="00D2469D" w:rsidP="00232453">
      <w:r>
        <w:separator/>
      </w:r>
    </w:p>
  </w:endnote>
  <w:endnote w:type="continuationSeparator" w:id="0">
    <w:p w14:paraId="5B89BE0A" w14:textId="77777777" w:rsidR="00D2469D" w:rsidRDefault="00D2469D" w:rsidP="0023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 Sans Regular">
    <w:altName w:val="Calibri"/>
    <w:charset w:val="00"/>
    <w:family w:val="auto"/>
    <w:pitch w:val="variable"/>
    <w:sig w:usb0="800000AF" w:usb1="4000204A"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ni Sans Light">
    <w:altName w:val="Avenir Light"/>
    <w:charset w:val="00"/>
    <w:family w:val="auto"/>
    <w:pitch w:val="variable"/>
    <w:sig w:usb0="800000AF" w:usb1="4000204A" w:usb2="00000000" w:usb3="00000000" w:csb0="00000001" w:csb1="00000000"/>
  </w:font>
  <w:font w:name="Uni Sans SemiBold">
    <w:altName w:val="Avenir Light"/>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EE917DB" w14:textId="77777777" w:rsidR="00D2469D" w:rsidRDefault="00D2469D" w:rsidP="00232453">
      <w:r>
        <w:separator/>
      </w:r>
    </w:p>
  </w:footnote>
  <w:footnote w:type="continuationSeparator" w:id="0">
    <w:p w14:paraId="550AD4A0" w14:textId="77777777" w:rsidR="00D2469D" w:rsidRDefault="00D2469D" w:rsidP="002324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236FB4"/>
    <w:multiLevelType w:val="hybridMultilevel"/>
    <w:tmpl w:val="543AC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E1435"/>
    <w:multiLevelType w:val="hybridMultilevel"/>
    <w:tmpl w:val="F404D566"/>
    <w:lvl w:ilvl="0" w:tplc="3B2089CA">
      <w:numFmt w:val="bullet"/>
      <w:lvlText w:val="•"/>
      <w:lvlJc w:val="left"/>
      <w:pPr>
        <w:ind w:left="1377" w:hanging="171"/>
      </w:pPr>
      <w:rPr>
        <w:rFonts w:ascii="Uni Sans Regular" w:eastAsia="Uni Sans Regular" w:hAnsi="Uni Sans Regular" w:cs="Uni Sans Regular" w:hint="default"/>
        <w:color w:val="231F20"/>
        <w:spacing w:val="-14"/>
        <w:w w:val="100"/>
        <w:sz w:val="18"/>
        <w:szCs w:val="18"/>
        <w:lang w:val="en-GB" w:eastAsia="en-GB" w:bidi="en-GB"/>
      </w:rPr>
    </w:lvl>
    <w:lvl w:ilvl="1" w:tplc="6B680D06">
      <w:numFmt w:val="bullet"/>
      <w:lvlText w:val="-"/>
      <w:lvlJc w:val="left"/>
      <w:pPr>
        <w:ind w:left="1604" w:hanging="171"/>
      </w:pPr>
      <w:rPr>
        <w:rFonts w:ascii="Uni Sans Regular" w:eastAsia="Uni Sans Regular" w:hAnsi="Uni Sans Regular" w:cs="Uni Sans Regular" w:hint="default"/>
        <w:color w:val="231F20"/>
        <w:spacing w:val="-2"/>
        <w:w w:val="100"/>
        <w:sz w:val="18"/>
        <w:szCs w:val="18"/>
        <w:lang w:val="en-GB" w:eastAsia="en-GB" w:bidi="en-GB"/>
      </w:rPr>
    </w:lvl>
    <w:lvl w:ilvl="2" w:tplc="FE767FFC">
      <w:numFmt w:val="bullet"/>
      <w:lvlText w:val="•"/>
      <w:lvlJc w:val="left"/>
      <w:pPr>
        <w:ind w:left="1881" w:hanging="171"/>
      </w:pPr>
      <w:rPr>
        <w:rFonts w:hint="default"/>
        <w:lang w:val="en-GB" w:eastAsia="en-GB" w:bidi="en-GB"/>
      </w:rPr>
    </w:lvl>
    <w:lvl w:ilvl="3" w:tplc="8E1C43B4">
      <w:numFmt w:val="bullet"/>
      <w:lvlText w:val="•"/>
      <w:lvlJc w:val="left"/>
      <w:pPr>
        <w:ind w:left="2162" w:hanging="171"/>
      </w:pPr>
      <w:rPr>
        <w:rFonts w:hint="default"/>
        <w:lang w:val="en-GB" w:eastAsia="en-GB" w:bidi="en-GB"/>
      </w:rPr>
    </w:lvl>
    <w:lvl w:ilvl="4" w:tplc="A6C8F6D0">
      <w:numFmt w:val="bullet"/>
      <w:lvlText w:val="•"/>
      <w:lvlJc w:val="left"/>
      <w:pPr>
        <w:ind w:left="2443" w:hanging="171"/>
      </w:pPr>
      <w:rPr>
        <w:rFonts w:hint="default"/>
        <w:lang w:val="en-GB" w:eastAsia="en-GB" w:bidi="en-GB"/>
      </w:rPr>
    </w:lvl>
    <w:lvl w:ilvl="5" w:tplc="12664E56">
      <w:numFmt w:val="bullet"/>
      <w:lvlText w:val="•"/>
      <w:lvlJc w:val="left"/>
      <w:pPr>
        <w:ind w:left="2725" w:hanging="171"/>
      </w:pPr>
      <w:rPr>
        <w:rFonts w:hint="default"/>
        <w:lang w:val="en-GB" w:eastAsia="en-GB" w:bidi="en-GB"/>
      </w:rPr>
    </w:lvl>
    <w:lvl w:ilvl="6" w:tplc="D07E2D46">
      <w:numFmt w:val="bullet"/>
      <w:lvlText w:val="•"/>
      <w:lvlJc w:val="left"/>
      <w:pPr>
        <w:ind w:left="3006" w:hanging="171"/>
      </w:pPr>
      <w:rPr>
        <w:rFonts w:hint="default"/>
        <w:lang w:val="en-GB" w:eastAsia="en-GB" w:bidi="en-GB"/>
      </w:rPr>
    </w:lvl>
    <w:lvl w:ilvl="7" w:tplc="31C02180">
      <w:numFmt w:val="bullet"/>
      <w:lvlText w:val="•"/>
      <w:lvlJc w:val="left"/>
      <w:pPr>
        <w:ind w:left="3287" w:hanging="171"/>
      </w:pPr>
      <w:rPr>
        <w:rFonts w:hint="default"/>
        <w:lang w:val="en-GB" w:eastAsia="en-GB" w:bidi="en-GB"/>
      </w:rPr>
    </w:lvl>
    <w:lvl w:ilvl="8" w:tplc="7C9A86E2">
      <w:numFmt w:val="bullet"/>
      <w:lvlText w:val="•"/>
      <w:lvlJc w:val="left"/>
      <w:pPr>
        <w:ind w:left="3569" w:hanging="171"/>
      </w:pPr>
      <w:rPr>
        <w:rFonts w:hint="default"/>
        <w:lang w:val="en-GB" w:eastAsia="en-GB" w:bidi="en-GB"/>
      </w:rPr>
    </w:lvl>
  </w:abstractNum>
  <w:abstractNum w:abstractNumId="2">
    <w:nsid w:val="69193B77"/>
    <w:multiLevelType w:val="hybridMultilevel"/>
    <w:tmpl w:val="272C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1763FF"/>
    <w:multiLevelType w:val="hybridMultilevel"/>
    <w:tmpl w:val="EC9EE76C"/>
    <w:lvl w:ilvl="0" w:tplc="CABC3554">
      <w:numFmt w:val="bullet"/>
      <w:lvlText w:val="•"/>
      <w:lvlJc w:val="left"/>
      <w:pPr>
        <w:ind w:left="371" w:hanging="171"/>
      </w:pPr>
      <w:rPr>
        <w:rFonts w:ascii="Uni Sans Regular" w:eastAsia="Uni Sans Regular" w:hAnsi="Uni Sans Regular" w:cs="Uni Sans Regular" w:hint="default"/>
        <w:color w:val="231F20"/>
        <w:spacing w:val="-5"/>
        <w:w w:val="100"/>
        <w:sz w:val="18"/>
        <w:szCs w:val="18"/>
        <w:lang w:val="en-GB" w:eastAsia="en-GB" w:bidi="en-GB"/>
      </w:rPr>
    </w:lvl>
    <w:lvl w:ilvl="1" w:tplc="52F88D30">
      <w:numFmt w:val="bullet"/>
      <w:lvlText w:val="•"/>
      <w:lvlJc w:val="left"/>
      <w:pPr>
        <w:ind w:left="655" w:hanging="171"/>
      </w:pPr>
      <w:rPr>
        <w:rFonts w:hint="default"/>
        <w:lang w:val="en-GB" w:eastAsia="en-GB" w:bidi="en-GB"/>
      </w:rPr>
    </w:lvl>
    <w:lvl w:ilvl="2" w:tplc="E1C85024">
      <w:numFmt w:val="bullet"/>
      <w:lvlText w:val="•"/>
      <w:lvlJc w:val="left"/>
      <w:pPr>
        <w:ind w:left="931" w:hanging="171"/>
      </w:pPr>
      <w:rPr>
        <w:rFonts w:hint="default"/>
        <w:lang w:val="en-GB" w:eastAsia="en-GB" w:bidi="en-GB"/>
      </w:rPr>
    </w:lvl>
    <w:lvl w:ilvl="3" w:tplc="CD2489F6">
      <w:numFmt w:val="bullet"/>
      <w:lvlText w:val="•"/>
      <w:lvlJc w:val="left"/>
      <w:pPr>
        <w:ind w:left="1207" w:hanging="171"/>
      </w:pPr>
      <w:rPr>
        <w:rFonts w:hint="default"/>
        <w:lang w:val="en-GB" w:eastAsia="en-GB" w:bidi="en-GB"/>
      </w:rPr>
    </w:lvl>
    <w:lvl w:ilvl="4" w:tplc="038EC790">
      <w:numFmt w:val="bullet"/>
      <w:lvlText w:val="•"/>
      <w:lvlJc w:val="left"/>
      <w:pPr>
        <w:ind w:left="1483" w:hanging="171"/>
      </w:pPr>
      <w:rPr>
        <w:rFonts w:hint="default"/>
        <w:lang w:val="en-GB" w:eastAsia="en-GB" w:bidi="en-GB"/>
      </w:rPr>
    </w:lvl>
    <w:lvl w:ilvl="5" w:tplc="56F0D17E">
      <w:numFmt w:val="bullet"/>
      <w:lvlText w:val="•"/>
      <w:lvlJc w:val="left"/>
      <w:pPr>
        <w:ind w:left="1759" w:hanging="171"/>
      </w:pPr>
      <w:rPr>
        <w:rFonts w:hint="default"/>
        <w:lang w:val="en-GB" w:eastAsia="en-GB" w:bidi="en-GB"/>
      </w:rPr>
    </w:lvl>
    <w:lvl w:ilvl="6" w:tplc="767A9C98">
      <w:numFmt w:val="bullet"/>
      <w:lvlText w:val="•"/>
      <w:lvlJc w:val="left"/>
      <w:pPr>
        <w:ind w:left="2035" w:hanging="171"/>
      </w:pPr>
      <w:rPr>
        <w:rFonts w:hint="default"/>
        <w:lang w:val="en-GB" w:eastAsia="en-GB" w:bidi="en-GB"/>
      </w:rPr>
    </w:lvl>
    <w:lvl w:ilvl="7" w:tplc="109A63FE">
      <w:numFmt w:val="bullet"/>
      <w:lvlText w:val="•"/>
      <w:lvlJc w:val="left"/>
      <w:pPr>
        <w:ind w:left="2311" w:hanging="171"/>
      </w:pPr>
      <w:rPr>
        <w:rFonts w:hint="default"/>
        <w:lang w:val="en-GB" w:eastAsia="en-GB" w:bidi="en-GB"/>
      </w:rPr>
    </w:lvl>
    <w:lvl w:ilvl="8" w:tplc="83AAA5AC">
      <w:numFmt w:val="bullet"/>
      <w:lvlText w:val="•"/>
      <w:lvlJc w:val="left"/>
      <w:pPr>
        <w:ind w:left="2587" w:hanging="171"/>
      </w:pPr>
      <w:rPr>
        <w:rFonts w:hint="default"/>
        <w:lang w:val="en-GB" w:eastAsia="en-GB" w:bidi="en-G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80424"/>
    <w:rsid w:val="00025CD7"/>
    <w:rsid w:val="00073FDB"/>
    <w:rsid w:val="00080424"/>
    <w:rsid w:val="00144A92"/>
    <w:rsid w:val="00164BAB"/>
    <w:rsid w:val="001B313B"/>
    <w:rsid w:val="00232453"/>
    <w:rsid w:val="0030501E"/>
    <w:rsid w:val="003D2424"/>
    <w:rsid w:val="0045564F"/>
    <w:rsid w:val="00484C7F"/>
    <w:rsid w:val="00BA2409"/>
    <w:rsid w:val="00D2469D"/>
    <w:rsid w:val="00E10C0B"/>
    <w:rsid w:val="00EF01BD"/>
    <w:rsid w:val="00F952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569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Uni Sans Regular" w:eastAsia="Uni Sans Regular" w:hAnsi="Uni Sans Regular" w:cs="Uni Sans Regular"/>
      <w:lang w:val="en-GB" w:eastAsia="en-GB" w:bidi="en-GB"/>
    </w:rPr>
  </w:style>
  <w:style w:type="paragraph" w:styleId="Heading1">
    <w:name w:val="heading 1"/>
    <w:basedOn w:val="Normal"/>
    <w:uiPriority w:val="1"/>
    <w:qFormat/>
    <w:pPr>
      <w:ind w:left="1207"/>
      <w:outlineLvl w:val="0"/>
    </w:pPr>
    <w:rPr>
      <w:rFonts w:ascii="Uni Sans Light" w:eastAsia="Uni Sans Light" w:hAnsi="Uni Sans Light" w:cs="Uni Sans Light"/>
      <w:sz w:val="44"/>
      <w:szCs w:val="44"/>
    </w:rPr>
  </w:style>
  <w:style w:type="paragraph" w:styleId="Heading2">
    <w:name w:val="heading 2"/>
    <w:basedOn w:val="Normal"/>
    <w:uiPriority w:val="1"/>
    <w:qFormat/>
    <w:pPr>
      <w:spacing w:before="111"/>
      <w:ind w:left="2355" w:right="1739"/>
      <w:outlineLvl w:val="1"/>
    </w:pPr>
  </w:style>
  <w:style w:type="paragraph" w:styleId="Heading3">
    <w:name w:val="heading 3"/>
    <w:basedOn w:val="Normal"/>
    <w:uiPriority w:val="1"/>
    <w:qFormat/>
    <w:pPr>
      <w:spacing w:before="67"/>
      <w:ind w:left="201"/>
      <w:outlineLvl w:val="2"/>
    </w:pPr>
    <w:rPr>
      <w:rFonts w:ascii="Uni Sans SemiBold" w:eastAsia="Uni Sans SemiBold" w:hAnsi="Uni Sans SemiBold" w:cs="Uni Sans Semi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604" w:hanging="1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2453"/>
    <w:pPr>
      <w:tabs>
        <w:tab w:val="center" w:pos="4513"/>
        <w:tab w:val="right" w:pos="9026"/>
      </w:tabs>
    </w:pPr>
  </w:style>
  <w:style w:type="character" w:customStyle="1" w:styleId="HeaderChar">
    <w:name w:val="Header Char"/>
    <w:basedOn w:val="DefaultParagraphFont"/>
    <w:link w:val="Header"/>
    <w:uiPriority w:val="99"/>
    <w:rsid w:val="00232453"/>
    <w:rPr>
      <w:rFonts w:ascii="Uni Sans Regular" w:eastAsia="Uni Sans Regular" w:hAnsi="Uni Sans Regular" w:cs="Uni Sans Regular"/>
      <w:lang w:val="en-GB" w:eastAsia="en-GB" w:bidi="en-GB"/>
    </w:rPr>
  </w:style>
  <w:style w:type="paragraph" w:styleId="Footer">
    <w:name w:val="footer"/>
    <w:basedOn w:val="Normal"/>
    <w:link w:val="FooterChar"/>
    <w:uiPriority w:val="99"/>
    <w:unhideWhenUsed/>
    <w:rsid w:val="00232453"/>
    <w:pPr>
      <w:tabs>
        <w:tab w:val="center" w:pos="4513"/>
        <w:tab w:val="right" w:pos="9026"/>
      </w:tabs>
    </w:pPr>
  </w:style>
  <w:style w:type="character" w:customStyle="1" w:styleId="FooterChar">
    <w:name w:val="Footer Char"/>
    <w:basedOn w:val="DefaultParagraphFont"/>
    <w:link w:val="Footer"/>
    <w:uiPriority w:val="99"/>
    <w:rsid w:val="00232453"/>
    <w:rPr>
      <w:rFonts w:ascii="Uni Sans Regular" w:eastAsia="Uni Sans Regular" w:hAnsi="Uni Sans Regular" w:cs="Uni Sans Regula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1318">
      <w:bodyDiv w:val="1"/>
      <w:marLeft w:val="0"/>
      <w:marRight w:val="0"/>
      <w:marTop w:val="0"/>
      <w:marBottom w:val="0"/>
      <w:divBdr>
        <w:top w:val="none" w:sz="0" w:space="0" w:color="auto"/>
        <w:left w:val="none" w:sz="0" w:space="0" w:color="auto"/>
        <w:bottom w:val="none" w:sz="0" w:space="0" w:color="auto"/>
        <w:right w:val="none" w:sz="0" w:space="0" w:color="auto"/>
      </w:divBdr>
    </w:div>
    <w:div w:id="732702540">
      <w:bodyDiv w:val="1"/>
      <w:marLeft w:val="0"/>
      <w:marRight w:val="0"/>
      <w:marTop w:val="0"/>
      <w:marBottom w:val="0"/>
      <w:divBdr>
        <w:top w:val="none" w:sz="0" w:space="0" w:color="auto"/>
        <w:left w:val="none" w:sz="0" w:space="0" w:color="auto"/>
        <w:bottom w:val="none" w:sz="0" w:space="0" w:color="auto"/>
        <w:right w:val="none" w:sz="0" w:space="0" w:color="auto"/>
      </w:divBdr>
    </w:div>
    <w:div w:id="760445085">
      <w:bodyDiv w:val="1"/>
      <w:marLeft w:val="0"/>
      <w:marRight w:val="0"/>
      <w:marTop w:val="0"/>
      <w:marBottom w:val="0"/>
      <w:divBdr>
        <w:top w:val="none" w:sz="0" w:space="0" w:color="auto"/>
        <w:left w:val="none" w:sz="0" w:space="0" w:color="auto"/>
        <w:bottom w:val="none" w:sz="0" w:space="0" w:color="auto"/>
        <w:right w:val="none" w:sz="0" w:space="0" w:color="auto"/>
      </w:divBdr>
    </w:div>
    <w:div w:id="906112685">
      <w:bodyDiv w:val="1"/>
      <w:marLeft w:val="0"/>
      <w:marRight w:val="0"/>
      <w:marTop w:val="0"/>
      <w:marBottom w:val="0"/>
      <w:divBdr>
        <w:top w:val="none" w:sz="0" w:space="0" w:color="auto"/>
        <w:left w:val="none" w:sz="0" w:space="0" w:color="auto"/>
        <w:bottom w:val="none" w:sz="0" w:space="0" w:color="auto"/>
        <w:right w:val="none" w:sz="0" w:space="0" w:color="auto"/>
      </w:divBdr>
    </w:div>
    <w:div w:id="17744761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Zammit</cp:lastModifiedBy>
  <cp:revision>4</cp:revision>
  <dcterms:created xsi:type="dcterms:W3CDTF">2018-12-18T09:29:00Z</dcterms:created>
  <dcterms:modified xsi:type="dcterms:W3CDTF">2018-12-18T12:28:00Z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Adobe InDesign CC 14.0 (Macintosh)</vt:lpwstr>
  </property>
  <property fmtid="{D5CDD505-2E9C-101B-9397-08002B2CF9AE}" pid="4" name="LastSaved">
    <vt:filetime>2018-12-17T00:00:00Z</vt:filetime>
  </property>
</Properties>
</file>