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0EDA71" w14:textId="5B9F81C8" w:rsidR="003D2424" w:rsidRPr="003D2424" w:rsidRDefault="005B5F04" w:rsidP="003D242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sz w:val="18"/>
        </w:rPr>
        <w:pict w14:anchorId="2686546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24.05pt;margin-top:20.55pt;width:211.75pt;height:9.05pt;z-index:-3976;mso-position-horizontal-relative:page;mso-position-vertical-relative:page" filled="f" stroked="f">
            <v:textbox style="mso-next-textbox:#_x0000_s1034" inset="0,0,0,0">
              <w:txbxContent>
                <w:p w14:paraId="555EDD75" w14:textId="77777777" w:rsidR="00080424" w:rsidRDefault="00E10C0B">
                  <w:pPr>
                    <w:tabs>
                      <w:tab w:val="left" w:pos="289"/>
                    </w:tabs>
                    <w:spacing w:line="181" w:lineRule="exact"/>
                    <w:rPr>
                      <w:rFonts w:ascii="Uni Sans Light"/>
                      <w:sz w:val="16"/>
                    </w:rPr>
                  </w:pPr>
                  <w:r>
                    <w:rPr>
                      <w:rFonts w:ascii="Uni Sans Light"/>
                      <w:color w:val="0096DB"/>
                      <w:sz w:val="16"/>
                    </w:rPr>
                    <w:t>1</w:t>
                  </w:r>
                  <w:r>
                    <w:rPr>
                      <w:rFonts w:ascii="Uni Sans Light"/>
                      <w:color w:val="0096DB"/>
                      <w:sz w:val="16"/>
                    </w:rPr>
                    <w:tab/>
                  </w:r>
                  <w:r>
                    <w:rPr>
                      <w:rFonts w:ascii="Uni Sans Light"/>
                      <w:color w:val="231F20"/>
                      <w:sz w:val="16"/>
                    </w:rPr>
                    <w:t xml:space="preserve">ACGR Guidelines for Quality </w:t>
                  </w:r>
                  <w:r>
                    <w:rPr>
                      <w:rFonts w:ascii="Uni Sans Light"/>
                      <w:color w:val="231F20"/>
                      <w:spacing w:val="-3"/>
                      <w:sz w:val="16"/>
                    </w:rPr>
                    <w:t xml:space="preserve">Graduate </w:t>
                  </w:r>
                  <w:r>
                    <w:rPr>
                      <w:rFonts w:ascii="Uni Sans Light"/>
                      <w:color w:val="231F20"/>
                      <w:sz w:val="16"/>
                    </w:rPr>
                    <w:t>Research</w:t>
                  </w:r>
                  <w:r>
                    <w:rPr>
                      <w:rFonts w:ascii="Uni Sans Light"/>
                      <w:color w:val="231F20"/>
                      <w:spacing w:val="-32"/>
                      <w:sz w:val="16"/>
                    </w:rPr>
                    <w:t xml:space="preserve"> </w:t>
                  </w:r>
                  <w:r>
                    <w:rPr>
                      <w:rFonts w:ascii="Uni Sans Light"/>
                      <w:color w:val="231F20"/>
                      <w:sz w:val="16"/>
                    </w:rPr>
                    <w:t>Supervision</w:t>
                  </w:r>
                </w:p>
              </w:txbxContent>
            </v:textbox>
            <w10:wrap anchorx="page" anchory="page"/>
          </v:shape>
        </w:pict>
      </w:r>
    </w:p>
    <w:p w14:paraId="50D364E7" w14:textId="66E7776A" w:rsidR="00FA2146" w:rsidRPr="00FA2146" w:rsidRDefault="00FA2146" w:rsidP="00FA21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DA9B27E" w14:textId="3256C6A9" w:rsidR="00080424" w:rsidRDefault="005B5F04">
      <w:pPr>
        <w:pStyle w:val="BodyText"/>
        <w:spacing w:before="6"/>
        <w:rPr>
          <w:rFonts w:ascii="Times New Roman"/>
          <w:sz w:val="17"/>
        </w:rPr>
      </w:pPr>
      <w:r>
        <w:pict w14:anchorId="50BABA35">
          <v:group id="_x0000_s1030" style="position:absolute;margin-left:0;margin-top:0;width:595.3pt;height:688.15pt;z-index:-3952;mso-position-horizontal-relative:page;mso-position-vertical-relative:page" coordsize="11906,13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1906;height:13467">
              <v:imagedata r:id="rId7" o:title=""/>
            </v:shape>
            <v:rect id="_x0000_s1032" style="position:absolute;width:11906;height:12208" fillcolor="#33a5c6" stroked="f">
              <v:fill opacity=".5"/>
            </v:rect>
            <v:rect id="_x0000_s1031" style="position:absolute;top:12207;width:11906;height:1555" stroked="f">
              <v:fill opacity="44564f"/>
            </v:rect>
            <w10:wrap anchorx="page" anchory="page"/>
          </v:group>
        </w:pict>
      </w:r>
    </w:p>
    <w:p w14:paraId="2B767CEB" w14:textId="374C0457" w:rsidR="002016BA" w:rsidRPr="002016BA" w:rsidRDefault="002016BA" w:rsidP="002016BA">
      <w:pPr>
        <w:spacing w:before="75" w:line="208" w:lineRule="auto"/>
        <w:ind w:left="1843" w:right="1057" w:hanging="6"/>
        <w:jc w:val="center"/>
        <w:rPr>
          <w:color w:val="FFFFFF"/>
          <w:sz w:val="48"/>
          <w:lang w:val="en-AU"/>
        </w:rPr>
      </w:pPr>
      <w:r w:rsidRPr="002016BA">
        <w:rPr>
          <w:color w:val="FFFFFF"/>
          <w:sz w:val="48"/>
          <w:lang w:val="en-AU"/>
        </w:rPr>
        <w:t>ACGR Good Practice Guidelines for Transferable Skill Development</w:t>
      </w:r>
    </w:p>
    <w:p w14:paraId="143DDA97" w14:textId="07E9B2A1" w:rsidR="00F95239" w:rsidRDefault="00F95239" w:rsidP="00EF01BD">
      <w:pPr>
        <w:spacing w:before="75" w:line="208" w:lineRule="auto"/>
        <w:ind w:left="1843" w:right="1057" w:hanging="6"/>
        <w:jc w:val="center"/>
        <w:rPr>
          <w:sz w:val="48"/>
        </w:rPr>
      </w:pPr>
    </w:p>
    <w:p w14:paraId="2C451F4A" w14:textId="530D2217" w:rsidR="00F95239" w:rsidRDefault="00E10C0B" w:rsidP="00F95239">
      <w:pPr>
        <w:ind w:left="1276" w:right="669"/>
        <w:rPr>
          <w:color w:val="FFFFFF"/>
          <w:sz w:val="24"/>
        </w:rPr>
      </w:pPr>
      <w:r>
        <w:rPr>
          <w:color w:val="FFFFFF"/>
          <w:sz w:val="24"/>
        </w:rPr>
        <w:t xml:space="preserve">These Guidelines should be read in association with the </w:t>
      </w:r>
      <w:r w:rsidR="001B313B">
        <w:rPr>
          <w:color w:val="FFFFFF"/>
          <w:sz w:val="24"/>
        </w:rPr>
        <w:t xml:space="preserve">Australian </w:t>
      </w:r>
      <w:r>
        <w:rPr>
          <w:color w:val="FFFFFF"/>
          <w:sz w:val="24"/>
        </w:rPr>
        <w:t>Graduate Research Good Practice</w:t>
      </w:r>
      <w:r w:rsidR="00F95239">
        <w:rPr>
          <w:color w:val="FFFFFF"/>
          <w:sz w:val="24"/>
        </w:rPr>
        <w:t xml:space="preserve"> Principles</w:t>
      </w:r>
      <w:r w:rsidR="00F4162D">
        <w:rPr>
          <w:color w:val="FFFFFF"/>
          <w:sz w:val="24"/>
        </w:rPr>
        <w:t xml:space="preserve"> for Graduate Research</w:t>
      </w:r>
      <w:r w:rsidR="00C36CE1">
        <w:rPr>
          <w:color w:val="FFFFFF"/>
          <w:sz w:val="24"/>
        </w:rPr>
        <w:t xml:space="preserve"> Candidate Development</w:t>
      </w:r>
    </w:p>
    <w:p w14:paraId="695E6C00" w14:textId="77777777" w:rsidR="00F95239" w:rsidRDefault="00F95239" w:rsidP="00F95239">
      <w:pPr>
        <w:rPr>
          <w:color w:val="FFFFFF"/>
          <w:sz w:val="24"/>
        </w:rPr>
      </w:pPr>
    </w:p>
    <w:p w14:paraId="66623036" w14:textId="77777777" w:rsidR="00F95239" w:rsidRDefault="00F95239" w:rsidP="00F95239">
      <w:pPr>
        <w:rPr>
          <w:color w:val="FFFFFF"/>
          <w:sz w:val="24"/>
        </w:rPr>
      </w:pPr>
    </w:p>
    <w:p w14:paraId="5FE07D41" w14:textId="77777777" w:rsidR="00F95239" w:rsidRDefault="00F95239" w:rsidP="00F95239">
      <w:pPr>
        <w:rPr>
          <w:color w:val="FFFFFF"/>
          <w:sz w:val="24"/>
        </w:rPr>
      </w:pPr>
    </w:p>
    <w:p w14:paraId="6B040D44" w14:textId="49ABFE9A" w:rsidR="00F95239" w:rsidRPr="00F95239" w:rsidRDefault="00E10C0B" w:rsidP="003D2424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color w:val="FFFFFF"/>
          <w:sz w:val="24"/>
        </w:rPr>
        <w:t>.</w:t>
      </w:r>
      <w:r w:rsidR="003D2424" w:rsidRPr="003D2424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 </w:t>
      </w:r>
      <w:r w:rsidR="00F95239" w:rsidRPr="00F95239">
        <w:rPr>
          <w:rFonts w:eastAsia="Times New Roman"/>
        </w:rPr>
        <w:t xml:space="preserve"> </w:t>
      </w:r>
    </w:p>
    <w:p w14:paraId="137DF0D0" w14:textId="58DD1578" w:rsidR="00080424" w:rsidRDefault="00FA2146" w:rsidP="00FA2146">
      <w:pPr>
        <w:spacing w:before="298" w:line="201" w:lineRule="auto"/>
        <w:ind w:left="2127" w:right="1030"/>
        <w:jc w:val="center"/>
        <w:rPr>
          <w:color w:val="FFFFFF"/>
          <w:sz w:val="24"/>
        </w:rPr>
      </w:pPr>
      <w:r w:rsidRPr="00FA2146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48D6F04" wp14:editId="6E07246F">
            <wp:extent cx="4904523" cy="2813473"/>
            <wp:effectExtent l="0" t="0" r="0" b="0"/>
            <wp:docPr id="4" name="Picture 4" descr="mage result for skills train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kills training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36" cy="28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72F4" w14:textId="77777777" w:rsidR="00F95239" w:rsidRDefault="00F95239" w:rsidP="001B313B">
      <w:pPr>
        <w:spacing w:before="298" w:line="201" w:lineRule="auto"/>
        <w:ind w:left="2127" w:right="1030"/>
        <w:jc w:val="both"/>
        <w:rPr>
          <w:color w:val="FFFFFF"/>
          <w:sz w:val="24"/>
        </w:rPr>
      </w:pPr>
    </w:p>
    <w:p w14:paraId="38024203" w14:textId="77777777" w:rsidR="00F95239" w:rsidRDefault="00F95239" w:rsidP="001B313B">
      <w:pPr>
        <w:spacing w:before="298" w:line="201" w:lineRule="auto"/>
        <w:ind w:left="2127" w:right="1030"/>
        <w:jc w:val="both"/>
        <w:rPr>
          <w:color w:val="FFFFFF"/>
          <w:sz w:val="24"/>
        </w:rPr>
      </w:pPr>
    </w:p>
    <w:p w14:paraId="49AB31CC" w14:textId="39E1B901" w:rsidR="00F95239" w:rsidRDefault="00FA2146" w:rsidP="001B313B">
      <w:pPr>
        <w:spacing w:before="298" w:line="201" w:lineRule="auto"/>
        <w:ind w:left="2127" w:right="103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503313576" behindDoc="0" locked="0" layoutInCell="1" allowOverlap="1" wp14:anchorId="2EC7A853" wp14:editId="766EC893">
            <wp:simplePos x="0" y="0"/>
            <wp:positionH relativeFrom="column">
              <wp:posOffset>2860252</wp:posOffset>
            </wp:positionH>
            <wp:positionV relativeFrom="paragraph">
              <wp:posOffset>1940983</wp:posOffset>
            </wp:positionV>
            <wp:extent cx="1395125" cy="10149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R™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125" cy="101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0AD7" w14:textId="4A3C7DA2" w:rsidR="00080424" w:rsidRDefault="00080424">
      <w:pPr>
        <w:spacing w:line="201" w:lineRule="auto"/>
        <w:rPr>
          <w:sz w:val="24"/>
        </w:rPr>
        <w:sectPr w:rsidR="00080424">
          <w:type w:val="continuous"/>
          <w:pgSz w:w="11910" w:h="16840"/>
          <w:pgMar w:top="1580" w:right="1080" w:bottom="280" w:left="380" w:header="720" w:footer="720" w:gutter="0"/>
          <w:cols w:space="720"/>
        </w:sectPr>
      </w:pPr>
      <w:bookmarkStart w:id="0" w:name="_GoBack"/>
      <w:bookmarkEnd w:id="0"/>
    </w:p>
    <w:p w14:paraId="5488CB8C" w14:textId="5B263397" w:rsidR="00080424" w:rsidRDefault="00E10C0B">
      <w:pPr>
        <w:tabs>
          <w:tab w:val="left" w:pos="428"/>
        </w:tabs>
        <w:spacing w:before="38"/>
        <w:ind w:left="101"/>
        <w:rPr>
          <w:rFonts w:ascii="Uni Sans Light"/>
          <w:sz w:val="16"/>
        </w:rPr>
      </w:pPr>
      <w:r>
        <w:rPr>
          <w:rFonts w:ascii="Uni Sans Light"/>
          <w:color w:val="0096DB"/>
          <w:sz w:val="16"/>
        </w:rPr>
        <w:lastRenderedPageBreak/>
        <w:t>2</w:t>
      </w:r>
      <w:r>
        <w:rPr>
          <w:rFonts w:ascii="Uni Sans Light"/>
          <w:color w:val="0096DB"/>
          <w:sz w:val="16"/>
        </w:rPr>
        <w:tab/>
      </w:r>
      <w:r>
        <w:rPr>
          <w:rFonts w:ascii="Uni Sans Light"/>
          <w:color w:val="231F20"/>
          <w:sz w:val="16"/>
        </w:rPr>
        <w:t xml:space="preserve">ACGR Guidelines for </w:t>
      </w:r>
      <w:r w:rsidR="00931431">
        <w:rPr>
          <w:rFonts w:ascii="Uni Sans Light"/>
          <w:color w:val="231F20"/>
          <w:sz w:val="16"/>
        </w:rPr>
        <w:t>Transferrable Skills Development</w:t>
      </w:r>
    </w:p>
    <w:p w14:paraId="1EF593DA" w14:textId="77777777" w:rsidR="00080424" w:rsidRDefault="00080424">
      <w:pPr>
        <w:pStyle w:val="BodyText"/>
        <w:rPr>
          <w:rFonts w:ascii="Uni Sans Light"/>
        </w:rPr>
      </w:pPr>
    </w:p>
    <w:p w14:paraId="4E35CB71" w14:textId="77777777" w:rsidR="00080424" w:rsidRDefault="00080424">
      <w:pPr>
        <w:pStyle w:val="BodyText"/>
        <w:rPr>
          <w:rFonts w:ascii="Uni Sans Light"/>
        </w:rPr>
      </w:pPr>
    </w:p>
    <w:p w14:paraId="00CA7F34" w14:textId="77777777" w:rsidR="00080424" w:rsidRDefault="00080424">
      <w:pPr>
        <w:pStyle w:val="BodyText"/>
        <w:rPr>
          <w:rFonts w:ascii="Uni Sans Light"/>
        </w:rPr>
      </w:pPr>
    </w:p>
    <w:p w14:paraId="737E9680" w14:textId="77777777" w:rsidR="00080424" w:rsidRDefault="00080424">
      <w:pPr>
        <w:pStyle w:val="BodyText"/>
        <w:rPr>
          <w:rFonts w:ascii="Uni Sans Light"/>
        </w:rPr>
      </w:pPr>
    </w:p>
    <w:p w14:paraId="5A609793" w14:textId="77777777" w:rsidR="00080424" w:rsidRDefault="00080424">
      <w:pPr>
        <w:pStyle w:val="BodyText"/>
        <w:rPr>
          <w:rFonts w:ascii="Uni Sans Light"/>
        </w:rPr>
      </w:pPr>
    </w:p>
    <w:p w14:paraId="46A3B725" w14:textId="77777777" w:rsidR="00080424" w:rsidRDefault="00080424">
      <w:pPr>
        <w:pStyle w:val="BodyText"/>
        <w:rPr>
          <w:rFonts w:ascii="Uni Sans Light"/>
        </w:rPr>
      </w:pPr>
    </w:p>
    <w:p w14:paraId="11B5F0FE" w14:textId="77777777" w:rsidR="00080424" w:rsidRDefault="00080424">
      <w:pPr>
        <w:pStyle w:val="BodyText"/>
        <w:rPr>
          <w:rFonts w:ascii="Uni Sans Light"/>
        </w:rPr>
      </w:pPr>
    </w:p>
    <w:p w14:paraId="0BEAFEFE" w14:textId="77777777" w:rsidR="00080424" w:rsidRDefault="00080424">
      <w:pPr>
        <w:pStyle w:val="BodyText"/>
        <w:rPr>
          <w:rFonts w:ascii="Uni Sans Light"/>
        </w:rPr>
      </w:pPr>
    </w:p>
    <w:p w14:paraId="51450B06" w14:textId="77777777" w:rsidR="00080424" w:rsidRDefault="00080424">
      <w:pPr>
        <w:pStyle w:val="BodyText"/>
        <w:rPr>
          <w:rFonts w:ascii="Uni Sans Light"/>
        </w:rPr>
      </w:pPr>
    </w:p>
    <w:p w14:paraId="60C4BA39" w14:textId="77777777" w:rsidR="00080424" w:rsidRDefault="00080424">
      <w:pPr>
        <w:pStyle w:val="BodyText"/>
        <w:spacing w:before="9"/>
        <w:rPr>
          <w:rFonts w:ascii="Uni Sans Light"/>
          <w:sz w:val="16"/>
        </w:rPr>
      </w:pPr>
    </w:p>
    <w:p w14:paraId="7628FCC3" w14:textId="77777777" w:rsidR="00080424" w:rsidRDefault="00E10C0B" w:rsidP="001B313B">
      <w:pPr>
        <w:pStyle w:val="Heading1"/>
        <w:ind w:left="1701" w:hanging="283"/>
      </w:pPr>
      <w:r>
        <w:rPr>
          <w:color w:val="0097DB"/>
        </w:rPr>
        <w:t>Preamble</w:t>
      </w:r>
    </w:p>
    <w:p w14:paraId="65D0D62F" w14:textId="77777777" w:rsidR="002016BA" w:rsidRPr="002016BA" w:rsidRDefault="002016BA" w:rsidP="002016BA">
      <w:pPr>
        <w:spacing w:before="171" w:line="220" w:lineRule="auto"/>
        <w:ind w:left="1418"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 xml:space="preserve">ACGR recognises the national mandate to embed transferable skills training in our research training system. </w:t>
      </w:r>
    </w:p>
    <w:p w14:paraId="17B5A730" w14:textId="77777777" w:rsidR="002016BA" w:rsidRPr="002016BA" w:rsidRDefault="002016BA" w:rsidP="002016BA">
      <w:pPr>
        <w:spacing w:before="171" w:line="220" w:lineRule="auto"/>
        <w:ind w:left="1418"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>Transferable skills:</w:t>
      </w:r>
    </w:p>
    <w:p w14:paraId="2EDB954F" w14:textId="77777777" w:rsidR="002016BA" w:rsidRPr="002016BA" w:rsidRDefault="002016BA" w:rsidP="002016BA">
      <w:pPr>
        <w:pStyle w:val="ListParagraph"/>
        <w:numPr>
          <w:ilvl w:val="0"/>
          <w:numId w:val="6"/>
        </w:numPr>
        <w:spacing w:before="171" w:line="220" w:lineRule="auto"/>
        <w:ind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 xml:space="preserve">are complementary to research skills developed during candidature; </w:t>
      </w:r>
    </w:p>
    <w:p w14:paraId="38FBCC5E" w14:textId="77777777" w:rsidR="002016BA" w:rsidRPr="002016BA" w:rsidRDefault="002016BA" w:rsidP="002016BA">
      <w:pPr>
        <w:pStyle w:val="ListParagraph"/>
        <w:numPr>
          <w:ilvl w:val="0"/>
          <w:numId w:val="6"/>
        </w:numPr>
        <w:spacing w:before="171" w:line="220" w:lineRule="auto"/>
        <w:ind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 xml:space="preserve">can be acquired by undertaking research, bespoke skills development activities, peer learning, experiences, and training; </w:t>
      </w:r>
    </w:p>
    <w:p w14:paraId="2EDC15BB" w14:textId="77777777" w:rsidR="002016BA" w:rsidRPr="002016BA" w:rsidRDefault="002016BA" w:rsidP="002016BA">
      <w:pPr>
        <w:pStyle w:val="ListParagraph"/>
        <w:numPr>
          <w:ilvl w:val="0"/>
          <w:numId w:val="6"/>
        </w:numPr>
        <w:spacing w:before="171" w:line="220" w:lineRule="auto"/>
        <w:ind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>impact positively on experience during candidature; and,</w:t>
      </w:r>
    </w:p>
    <w:p w14:paraId="4C3A69C5" w14:textId="77777777" w:rsidR="002016BA" w:rsidRPr="002016BA" w:rsidRDefault="002016BA" w:rsidP="002016BA">
      <w:pPr>
        <w:pStyle w:val="ListParagraph"/>
        <w:numPr>
          <w:ilvl w:val="0"/>
          <w:numId w:val="6"/>
        </w:numPr>
        <w:spacing w:before="171" w:line="220" w:lineRule="auto"/>
        <w:ind w:right="1791"/>
        <w:jc w:val="both"/>
        <w:rPr>
          <w:rFonts w:asciiTheme="minorHAnsi" w:hAnsiTheme="minorHAnsi"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>are useful for a diversity of careers, including academic and research careers.</w:t>
      </w:r>
    </w:p>
    <w:p w14:paraId="77F8854D" w14:textId="77777777" w:rsidR="002016BA" w:rsidRPr="002016BA" w:rsidRDefault="002016BA" w:rsidP="002016BA">
      <w:pPr>
        <w:spacing w:before="171" w:line="220" w:lineRule="auto"/>
        <w:ind w:left="1418" w:right="1791"/>
        <w:jc w:val="both"/>
        <w:rPr>
          <w:rFonts w:asciiTheme="minorHAnsi" w:hAnsiTheme="minorHAnsi"/>
          <w:bCs/>
          <w:iCs/>
          <w:color w:val="231F20"/>
          <w:lang w:val="en-AU"/>
        </w:rPr>
      </w:pPr>
      <w:r w:rsidRPr="002016BA">
        <w:rPr>
          <w:rFonts w:asciiTheme="minorHAnsi" w:hAnsiTheme="minorHAnsi"/>
          <w:iCs/>
          <w:color w:val="231F20"/>
          <w:lang w:val="en-AU"/>
        </w:rPr>
        <w:t xml:space="preserve">The ACGR </w:t>
      </w:r>
      <w:bookmarkStart w:id="1" w:name="_Hlk527981602"/>
      <w:r w:rsidRPr="002016BA">
        <w:rPr>
          <w:rFonts w:asciiTheme="minorHAnsi" w:hAnsiTheme="minorHAnsi"/>
          <w:bCs/>
          <w:iCs/>
          <w:color w:val="231F20"/>
          <w:lang w:val="en-AU"/>
        </w:rPr>
        <w:t>Good Practice Principles for Graduate Research Candidate Development</w:t>
      </w:r>
      <w:bookmarkEnd w:id="1"/>
      <w:r w:rsidRPr="002016BA">
        <w:rPr>
          <w:rFonts w:asciiTheme="minorHAnsi" w:hAnsiTheme="minorHAnsi"/>
          <w:bCs/>
          <w:iCs/>
          <w:color w:val="231F20"/>
          <w:lang w:val="en-AU"/>
        </w:rPr>
        <w:t xml:space="preserve"> articulate a set of principles about developing research and transferable skills that, combined, enhance employability for academic and non-academic careers. The additional Guidelines proposed here should be read in association with those Principles.</w:t>
      </w:r>
    </w:p>
    <w:p w14:paraId="494BD1CC" w14:textId="0F3D55F6" w:rsidR="00080424" w:rsidRDefault="00E10C0B" w:rsidP="001B313B">
      <w:pPr>
        <w:spacing w:before="171" w:line="220" w:lineRule="auto"/>
        <w:ind w:left="2355" w:right="1791"/>
        <w:jc w:val="both"/>
      </w:pPr>
      <w:r>
        <w:rPr>
          <w:color w:val="231F20"/>
        </w:rPr>
        <w:t>.</w:t>
      </w:r>
    </w:p>
    <w:p w14:paraId="7CBC4D08" w14:textId="77777777" w:rsidR="00080424" w:rsidRDefault="00080424" w:rsidP="001B313B">
      <w:pPr>
        <w:spacing w:line="220" w:lineRule="auto"/>
        <w:jc w:val="both"/>
        <w:sectPr w:rsidR="00080424">
          <w:pgSz w:w="11910" w:h="16840"/>
          <w:pgMar w:top="320" w:right="1080" w:bottom="280" w:left="380" w:header="720" w:footer="720" w:gutter="0"/>
          <w:cols w:space="720"/>
        </w:sectPr>
      </w:pPr>
    </w:p>
    <w:p w14:paraId="5EE42883" w14:textId="77777777" w:rsidR="00080424" w:rsidRDefault="00E10C0B">
      <w:pPr>
        <w:spacing w:before="38"/>
        <w:ind w:right="136"/>
        <w:jc w:val="right"/>
        <w:rPr>
          <w:rFonts w:ascii="Uni Sans Light"/>
          <w:sz w:val="16"/>
        </w:rPr>
      </w:pPr>
      <w:r>
        <w:rPr>
          <w:color w:val="0096DB"/>
          <w:sz w:val="16"/>
        </w:rPr>
        <w:lastRenderedPageBreak/>
        <w:t xml:space="preserve">Australian Council of Graduate Research </w:t>
      </w:r>
      <w:r>
        <w:rPr>
          <w:rFonts w:ascii="Uni Sans Light"/>
          <w:color w:val="0096DB"/>
          <w:sz w:val="16"/>
        </w:rPr>
        <w:t>- 3</w:t>
      </w:r>
    </w:p>
    <w:p w14:paraId="71F30620" w14:textId="77777777" w:rsidR="00080424" w:rsidRDefault="00080424">
      <w:pPr>
        <w:pStyle w:val="BodyText"/>
        <w:rPr>
          <w:rFonts w:ascii="Uni Sans Light"/>
          <w:sz w:val="20"/>
        </w:rPr>
      </w:pPr>
    </w:p>
    <w:p w14:paraId="2B87DEE2" w14:textId="77777777" w:rsidR="00080424" w:rsidRDefault="00080424">
      <w:pPr>
        <w:pStyle w:val="BodyText"/>
        <w:rPr>
          <w:rFonts w:ascii="Uni Sans Light"/>
          <w:sz w:val="20"/>
        </w:rPr>
      </w:pPr>
    </w:p>
    <w:p w14:paraId="167E3C60" w14:textId="77777777" w:rsidR="00080424" w:rsidRDefault="00080424">
      <w:pPr>
        <w:pStyle w:val="BodyText"/>
        <w:spacing w:before="6"/>
        <w:rPr>
          <w:rFonts w:ascii="Uni Sans Light"/>
        </w:rPr>
      </w:pPr>
    </w:p>
    <w:p w14:paraId="03DEF22A" w14:textId="77777777" w:rsidR="00080424" w:rsidRDefault="00E10C0B">
      <w:pPr>
        <w:pStyle w:val="Heading1"/>
        <w:spacing w:before="3"/>
      </w:pPr>
      <w:r>
        <w:rPr>
          <w:color w:val="0097DB"/>
        </w:rPr>
        <w:t>The ACGR recommends that:</w:t>
      </w:r>
    </w:p>
    <w:p w14:paraId="7A8AD3E9" w14:textId="2F6F1839" w:rsidR="00080424" w:rsidRDefault="00080424">
      <w:pPr>
        <w:rPr>
          <w:rFonts w:ascii="Uni Sans Light"/>
          <w:sz w:val="19"/>
        </w:rPr>
        <w:sectPr w:rsidR="00080424">
          <w:pgSz w:w="11910" w:h="16840"/>
          <w:pgMar w:top="320" w:right="1080" w:bottom="280" w:left="380" w:header="720" w:footer="720" w:gutter="0"/>
          <w:cols w:space="720"/>
        </w:sectPr>
      </w:pPr>
    </w:p>
    <w:p w14:paraId="0FDC686D" w14:textId="5DBC6929" w:rsidR="001B313B" w:rsidRPr="001B313B" w:rsidRDefault="001B313B" w:rsidP="001B313B">
      <w:pPr>
        <w:pStyle w:val="BodyText"/>
        <w:rPr>
          <w:rFonts w:ascii="Uni Sans SemiBold" w:eastAsia="Uni Sans SemiBold" w:hAnsi="Uni Sans SemiBold" w:cs="Uni Sans SemiBold"/>
          <w:b/>
          <w:bCs/>
          <w:color w:val="231F20"/>
          <w:lang w:val="en-AU"/>
        </w:rPr>
      </w:pPr>
    </w:p>
    <w:p w14:paraId="42636C1D" w14:textId="77777777" w:rsidR="00931431" w:rsidRPr="00931431" w:rsidRDefault="00931431" w:rsidP="00931431">
      <w:pPr>
        <w:pStyle w:val="BodyText"/>
        <w:spacing w:line="276" w:lineRule="auto"/>
        <w:ind w:left="1560" w:right="669" w:hanging="426"/>
        <w:jc w:val="both"/>
        <w:rPr>
          <w:rFonts w:asciiTheme="minorHAnsi" w:eastAsia="Uni Sans SemiBold" w:hAnsiTheme="minorHAnsi" w:cs="Uni Sans SemiBold"/>
          <w:b/>
          <w:bCs/>
          <w:i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i/>
          <w:color w:val="231F20"/>
          <w:sz w:val="22"/>
          <w:szCs w:val="22"/>
          <w:lang w:val="en-AU"/>
        </w:rPr>
        <w:t>Development</w:t>
      </w:r>
    </w:p>
    <w:p w14:paraId="7B376514" w14:textId="77777777" w:rsidR="00931431" w:rsidRPr="00931431" w:rsidRDefault="00931431" w:rsidP="00931431">
      <w:pPr>
        <w:pStyle w:val="BodyText"/>
        <w:numPr>
          <w:ilvl w:val="0"/>
          <w:numId w:val="9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All HDR candidates have access to transferable skills development;</w:t>
      </w:r>
    </w:p>
    <w:p w14:paraId="172DBA96" w14:textId="77777777" w:rsidR="00931431" w:rsidRPr="00931431" w:rsidRDefault="00931431" w:rsidP="00931431">
      <w:pPr>
        <w:pStyle w:val="BodyText"/>
        <w:numPr>
          <w:ilvl w:val="0"/>
          <w:numId w:val="9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Universities clearly articulate the skills expected to be acquired during candidature;</w:t>
      </w:r>
    </w:p>
    <w:p w14:paraId="505BCBF5" w14:textId="7C311EF2" w:rsidR="00931431" w:rsidRPr="00931431" w:rsidRDefault="00931431" w:rsidP="00931431">
      <w:pPr>
        <w:pStyle w:val="BodyText"/>
        <w:numPr>
          <w:ilvl w:val="0"/>
          <w:numId w:val="9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End users and employers are, where relevant, involved in the development and implementation of training provisions;</w:t>
      </w:r>
    </w:p>
    <w:p w14:paraId="6CAC4A12" w14:textId="77777777" w:rsidR="00931431" w:rsidRPr="00931431" w:rsidRDefault="00931431" w:rsidP="00931431">
      <w:pPr>
        <w:pStyle w:val="BodyText"/>
        <w:numPr>
          <w:ilvl w:val="0"/>
          <w:numId w:val="9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The importance of skills developed during the process of undertaking a research project are recognised and incorporated; </w:t>
      </w:r>
    </w:p>
    <w:p w14:paraId="28A28D1A" w14:textId="77777777" w:rsidR="00931431" w:rsidRPr="00931431" w:rsidRDefault="00931431" w:rsidP="00931431">
      <w:pPr>
        <w:pStyle w:val="BodyText"/>
        <w:numPr>
          <w:ilvl w:val="0"/>
          <w:numId w:val="9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Training programs and other models of skills development consider:</w:t>
      </w:r>
    </w:p>
    <w:p w14:paraId="7F0BDBF5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identifying some mandatory requirements or activities;</w:t>
      </w:r>
    </w:p>
    <w:p w14:paraId="05024B15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determining participation thresholds and evidence of participation;</w:t>
      </w:r>
    </w:p>
    <w:p w14:paraId="44070885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how skills development is to be recorded and recognised;</w:t>
      </w:r>
    </w:p>
    <w:p w14:paraId="5CDEB061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incorporating external engagement opportunities for skills development (including industry internships);</w:t>
      </w:r>
    </w:p>
    <w:p w14:paraId="66215FD0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enhanced career support for candidates; and, </w:t>
      </w:r>
    </w:p>
    <w:p w14:paraId="2965A1F4" w14:textId="77777777" w:rsidR="00931431" w:rsidRPr="00931431" w:rsidRDefault="00931431" w:rsidP="00931431">
      <w:pPr>
        <w:pStyle w:val="BodyText"/>
        <w:numPr>
          <w:ilvl w:val="0"/>
          <w:numId w:val="11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recognition of prior learning, such as when candidates transfer from another university or have prior professional experience.</w:t>
      </w:r>
    </w:p>
    <w:p w14:paraId="3B02DCFE" w14:textId="77777777" w:rsidR="00931431" w:rsidRPr="00931431" w:rsidRDefault="00931431" w:rsidP="00931431">
      <w:pPr>
        <w:pStyle w:val="BodyText"/>
        <w:numPr>
          <w:ilvl w:val="0"/>
          <w:numId w:val="8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Candidates are explicitly supported to recognise and articulate the skills they have acquired relevant to their career aspirations.</w:t>
      </w:r>
    </w:p>
    <w:p w14:paraId="77E4BD75" w14:textId="77777777" w:rsidR="00931431" w:rsidRDefault="00931431" w:rsidP="00931431">
      <w:pPr>
        <w:pStyle w:val="BodyText"/>
        <w:numPr>
          <w:ilvl w:val="0"/>
          <w:numId w:val="8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Universities have a strategy and the infrastructure required for skills planning, delivery, and recording, so as to incentivise engagement by candidates, supervisors, end users/employers and training providers.</w:t>
      </w:r>
    </w:p>
    <w:p w14:paraId="13818819" w14:textId="77777777" w:rsidR="00931431" w:rsidRPr="00931431" w:rsidRDefault="00931431" w:rsidP="00931431">
      <w:pPr>
        <w:pStyle w:val="BodyText"/>
        <w:spacing w:line="276" w:lineRule="auto"/>
        <w:ind w:left="1843" w:right="669" w:hanging="283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</w:p>
    <w:p w14:paraId="1D4532C2" w14:textId="77777777" w:rsidR="00931431" w:rsidRPr="00931431" w:rsidRDefault="00931431" w:rsidP="00931431">
      <w:pPr>
        <w:pStyle w:val="BodyText"/>
        <w:spacing w:line="276" w:lineRule="auto"/>
        <w:ind w:left="1843" w:right="669" w:hanging="283"/>
        <w:jc w:val="both"/>
        <w:rPr>
          <w:rFonts w:asciiTheme="minorHAnsi" w:eastAsia="Uni Sans SemiBold" w:hAnsiTheme="minorHAnsi" w:cs="Uni Sans SemiBold"/>
          <w:bCs/>
          <w:i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i/>
          <w:color w:val="231F20"/>
          <w:sz w:val="22"/>
          <w:szCs w:val="22"/>
          <w:lang w:val="en-AU"/>
        </w:rPr>
        <w:t>Assessment</w:t>
      </w:r>
    </w:p>
    <w:p w14:paraId="02B8FCB2" w14:textId="77777777" w:rsidR="00931431" w:rsidRPr="00931431" w:rsidRDefault="00931431" w:rsidP="00931431">
      <w:pPr>
        <w:pStyle w:val="BodyText"/>
        <w:numPr>
          <w:ilvl w:val="0"/>
          <w:numId w:val="7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Assessment utilises an approach of evidenced engagement and participation, in preference to prescribed curriculum hours; </w:t>
      </w:r>
    </w:p>
    <w:p w14:paraId="0DC2DF55" w14:textId="77777777" w:rsidR="00931431" w:rsidRPr="00931431" w:rsidRDefault="00931431" w:rsidP="00931431">
      <w:pPr>
        <w:pStyle w:val="BodyText"/>
        <w:numPr>
          <w:ilvl w:val="0"/>
          <w:numId w:val="7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Candidates are provided with support to self-assess their skills and to present themselves competitively for career choices post-graduation;</w:t>
      </w:r>
    </w:p>
    <w:p w14:paraId="07FE68DF" w14:textId="77777777" w:rsidR="00931431" w:rsidRPr="00931431" w:rsidRDefault="00931431" w:rsidP="00931431">
      <w:pPr>
        <w:pStyle w:val="BodyText"/>
        <w:numPr>
          <w:ilvl w:val="0"/>
          <w:numId w:val="7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Universities have a clear plan for understanding the impact of skills development on: </w:t>
      </w:r>
    </w:p>
    <w:p w14:paraId="4609E4D7" w14:textId="77777777" w:rsidR="00931431" w:rsidRPr="00931431" w:rsidRDefault="00931431" w:rsidP="00931431">
      <w:pPr>
        <w:pStyle w:val="BodyText"/>
        <w:numPr>
          <w:ilvl w:val="3"/>
          <w:numId w:val="12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the quality of research outcomes (such as submission rates, examination outcomes); </w:t>
      </w:r>
    </w:p>
    <w:p w14:paraId="049CDDEE" w14:textId="77777777" w:rsidR="00931431" w:rsidRPr="00931431" w:rsidRDefault="00931431" w:rsidP="00931431">
      <w:pPr>
        <w:pStyle w:val="BodyText"/>
        <w:numPr>
          <w:ilvl w:val="3"/>
          <w:numId w:val="12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the candidate experience (such as effectiveness of research project management); and, </w:t>
      </w:r>
    </w:p>
    <w:p w14:paraId="10FAB46D" w14:textId="77777777" w:rsidR="00931431" w:rsidRDefault="00931431" w:rsidP="00931431">
      <w:pPr>
        <w:pStyle w:val="BodyText"/>
        <w:numPr>
          <w:ilvl w:val="3"/>
          <w:numId w:val="12"/>
        </w:numPr>
        <w:spacing w:line="276" w:lineRule="auto"/>
        <w:ind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>employability (such as diversity of graduate destinations).</w:t>
      </w:r>
    </w:p>
    <w:p w14:paraId="43B333DF" w14:textId="77777777" w:rsidR="00931431" w:rsidRPr="00931431" w:rsidRDefault="00931431" w:rsidP="00931431">
      <w:pPr>
        <w:pStyle w:val="BodyText"/>
        <w:spacing w:line="276" w:lineRule="auto"/>
        <w:ind w:left="2520" w:right="669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</w:p>
    <w:p w14:paraId="7CE87F94" w14:textId="77777777" w:rsidR="00931431" w:rsidRPr="00931431" w:rsidRDefault="00931431" w:rsidP="00931431">
      <w:pPr>
        <w:pStyle w:val="BodyText"/>
        <w:spacing w:line="276" w:lineRule="auto"/>
        <w:ind w:left="1843" w:right="669" w:hanging="283"/>
        <w:jc w:val="both"/>
        <w:rPr>
          <w:rFonts w:asciiTheme="minorHAnsi" w:eastAsia="Uni Sans SemiBold" w:hAnsiTheme="minorHAnsi" w:cs="Uni Sans SemiBold"/>
          <w:bCs/>
          <w:i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i/>
          <w:color w:val="231F20"/>
          <w:sz w:val="22"/>
          <w:szCs w:val="22"/>
          <w:lang w:val="en-AU"/>
        </w:rPr>
        <w:t>Recognition</w:t>
      </w:r>
    </w:p>
    <w:p w14:paraId="7E7343A1" w14:textId="77777777" w:rsidR="00931431" w:rsidRPr="00931431" w:rsidRDefault="00931431" w:rsidP="00931431">
      <w:pPr>
        <w:pStyle w:val="BodyText"/>
        <w:numPr>
          <w:ilvl w:val="0"/>
          <w:numId w:val="7"/>
        </w:numPr>
        <w:spacing w:line="276" w:lineRule="auto"/>
        <w:ind w:left="1985" w:right="669" w:hanging="425"/>
        <w:jc w:val="both"/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</w:pP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-AU"/>
        </w:rPr>
        <w:t xml:space="preserve">Achievement is recognised and rewarded in various ways appropriate to the university research training environment, this may include certification, inclusion in the </w:t>
      </w:r>
      <w:r w:rsidRPr="00931431">
        <w:rPr>
          <w:rFonts w:asciiTheme="minorHAnsi" w:eastAsia="Uni Sans SemiBold" w:hAnsiTheme="minorHAnsi" w:cs="Uni Sans SemiBold"/>
          <w:bCs/>
          <w:color w:val="231F20"/>
          <w:sz w:val="22"/>
          <w:szCs w:val="22"/>
          <w:lang w:val="en"/>
        </w:rPr>
        <w:t>Australian Higher Education Graduation Statement (AHEGS), and micro-credentialing.</w:t>
      </w:r>
    </w:p>
    <w:p w14:paraId="0A721225" w14:textId="77777777" w:rsidR="00080424" w:rsidRPr="001B313B" w:rsidRDefault="00080424" w:rsidP="00931431">
      <w:pPr>
        <w:pStyle w:val="BodyText"/>
        <w:spacing w:line="276" w:lineRule="auto"/>
        <w:ind w:left="1843" w:right="669" w:hanging="283"/>
        <w:jc w:val="both"/>
        <w:rPr>
          <w:sz w:val="24"/>
          <w:szCs w:val="24"/>
        </w:rPr>
      </w:pPr>
    </w:p>
    <w:p w14:paraId="552ED31B" w14:textId="77777777" w:rsidR="00080424" w:rsidRPr="001B313B" w:rsidRDefault="00080424" w:rsidP="00931431">
      <w:pPr>
        <w:pStyle w:val="BodyText"/>
        <w:spacing w:line="276" w:lineRule="auto"/>
        <w:ind w:right="669"/>
        <w:jc w:val="both"/>
        <w:rPr>
          <w:sz w:val="24"/>
          <w:szCs w:val="24"/>
        </w:rPr>
      </w:pPr>
    </w:p>
    <w:p w14:paraId="00659F75" w14:textId="77777777" w:rsidR="00080424" w:rsidRPr="001B313B" w:rsidRDefault="00080424" w:rsidP="00931431">
      <w:pPr>
        <w:pStyle w:val="BodyText"/>
        <w:spacing w:line="276" w:lineRule="auto"/>
        <w:ind w:right="669"/>
        <w:jc w:val="both"/>
        <w:rPr>
          <w:sz w:val="24"/>
          <w:szCs w:val="24"/>
        </w:rPr>
      </w:pPr>
    </w:p>
    <w:p w14:paraId="55A30D84" w14:textId="77777777" w:rsidR="00080424" w:rsidRPr="001B313B" w:rsidRDefault="00080424" w:rsidP="00931431">
      <w:pPr>
        <w:pStyle w:val="BodyText"/>
        <w:spacing w:line="276" w:lineRule="auto"/>
        <w:ind w:right="669"/>
        <w:jc w:val="both"/>
        <w:rPr>
          <w:sz w:val="24"/>
          <w:szCs w:val="24"/>
        </w:rPr>
      </w:pPr>
    </w:p>
    <w:p w14:paraId="1EAF5C20" w14:textId="77777777" w:rsidR="00080424" w:rsidRDefault="00080424" w:rsidP="00931431">
      <w:pPr>
        <w:pStyle w:val="BodyText"/>
        <w:spacing w:line="276" w:lineRule="auto"/>
        <w:rPr>
          <w:sz w:val="20"/>
        </w:rPr>
      </w:pPr>
    </w:p>
    <w:p w14:paraId="486DFD15" w14:textId="77777777" w:rsidR="00080424" w:rsidRDefault="00080424" w:rsidP="00931431">
      <w:pPr>
        <w:pStyle w:val="BodyText"/>
        <w:spacing w:before="3" w:line="276" w:lineRule="auto"/>
        <w:rPr>
          <w:sz w:val="26"/>
        </w:rPr>
      </w:pPr>
    </w:p>
    <w:p w14:paraId="3E92F714" w14:textId="29F09290" w:rsidR="00080424" w:rsidRDefault="00164BAB" w:rsidP="00931431">
      <w:pPr>
        <w:spacing w:before="56" w:line="276" w:lineRule="auto"/>
        <w:ind w:left="1207"/>
        <w:rPr>
          <w:rFonts w:ascii="Uni Sans Light"/>
          <w:sz w:val="20"/>
        </w:rPr>
      </w:pPr>
      <w:r>
        <w:rPr>
          <w:rFonts w:ascii="Uni Sans Light"/>
          <w:color w:val="0097DB"/>
          <w:sz w:val="20"/>
        </w:rPr>
        <w:t xml:space="preserve">December </w:t>
      </w:r>
      <w:r w:rsidR="00E10C0B">
        <w:rPr>
          <w:rFonts w:ascii="Uni Sans Light"/>
          <w:color w:val="0097DB"/>
          <w:sz w:val="20"/>
        </w:rPr>
        <w:t>2018</w:t>
      </w:r>
    </w:p>
    <w:p w14:paraId="271D9C0D" w14:textId="77777777" w:rsidR="00080424" w:rsidRDefault="00080424" w:rsidP="00931431">
      <w:pPr>
        <w:spacing w:line="276" w:lineRule="auto"/>
        <w:rPr>
          <w:rFonts w:ascii="Uni Sans Light"/>
          <w:sz w:val="20"/>
        </w:rPr>
        <w:sectPr w:rsidR="00080424">
          <w:type w:val="continuous"/>
          <w:pgSz w:w="11910" w:h="16840"/>
          <w:pgMar w:top="1580" w:right="1080" w:bottom="280" w:left="380" w:header="720" w:footer="720" w:gutter="0"/>
          <w:cols w:space="720"/>
        </w:sectPr>
      </w:pPr>
    </w:p>
    <w:p w14:paraId="35F853C6" w14:textId="77777777" w:rsidR="00080424" w:rsidRDefault="00232453" w:rsidP="00931431">
      <w:pPr>
        <w:pStyle w:val="BodyText"/>
        <w:spacing w:before="4" w:line="276" w:lineRule="auto"/>
        <w:rPr>
          <w:rFonts w:ascii="Times New Roman"/>
          <w:sz w:val="17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503315539" behindDoc="0" locked="0" layoutInCell="1" allowOverlap="1" wp14:anchorId="5575D820" wp14:editId="40E9B258">
            <wp:simplePos x="0" y="0"/>
            <wp:positionH relativeFrom="column">
              <wp:posOffset>2934557</wp:posOffset>
            </wp:positionH>
            <wp:positionV relativeFrom="paragraph">
              <wp:posOffset>7229239</wp:posOffset>
            </wp:positionV>
            <wp:extent cx="1395125" cy="10149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R™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125" cy="101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04">
        <w:pict w14:anchorId="50325958">
          <v:group id="_x0000_s1026" style="position:absolute;margin-left:0;margin-top:0;width:595.3pt;height:676.1pt;z-index:-3928;mso-position-horizontal-relative:page;mso-position-vertical-relative:page" coordsize="11906,13522">
            <v:shape id="_x0000_s1029" type="#_x0000_t75" style="position:absolute;width:11906;height:11849">
              <v:imagedata r:id="rId10" o:title=""/>
            </v:shape>
            <v:rect id="_x0000_s1028" style="position:absolute;width:11906;height:9922" fillcolor="#33a5c6" stroked="f">
              <v:fill opacity=".5"/>
            </v:rect>
            <v:rect id="_x0000_s1027" style="position:absolute;top:9921;width:11906;height:3600" stroked="f">
              <v:fill opacity="34078f"/>
            </v:rect>
            <w10:wrap anchorx="page" anchory="page"/>
          </v:group>
        </w:pict>
      </w:r>
    </w:p>
    <w:sectPr w:rsidR="00080424">
      <w:pgSz w:w="11910" w:h="16840"/>
      <w:pgMar w:top="1580" w:right="10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3D32581" w14:textId="77777777" w:rsidR="005B5F04" w:rsidRDefault="005B5F04" w:rsidP="00232453">
      <w:r>
        <w:separator/>
      </w:r>
    </w:p>
  </w:endnote>
  <w:endnote w:type="continuationSeparator" w:id="0">
    <w:p w14:paraId="47D766D2" w14:textId="77777777" w:rsidR="005B5F04" w:rsidRDefault="005B5F04" w:rsidP="002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 Sans Regular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 Sans Light">
    <w:altName w:val="Avenir Light"/>
    <w:charset w:val="00"/>
    <w:family w:val="auto"/>
    <w:pitch w:val="variable"/>
    <w:sig w:usb0="800000AF" w:usb1="4000204A" w:usb2="00000000" w:usb3="00000000" w:csb0="00000001" w:csb1="00000000"/>
  </w:font>
  <w:font w:name="Uni Sans SemiBold">
    <w:altName w:val="Avenir Light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B93AC7E" w14:textId="77777777" w:rsidR="005B5F04" w:rsidRDefault="005B5F04" w:rsidP="00232453">
      <w:r>
        <w:separator/>
      </w:r>
    </w:p>
  </w:footnote>
  <w:footnote w:type="continuationSeparator" w:id="0">
    <w:p w14:paraId="6D020C34" w14:textId="77777777" w:rsidR="005B5F04" w:rsidRDefault="005B5F04" w:rsidP="002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F236FB4"/>
    <w:multiLevelType w:val="hybridMultilevel"/>
    <w:tmpl w:val="543AC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D00"/>
    <w:multiLevelType w:val="hybridMultilevel"/>
    <w:tmpl w:val="BD5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1435"/>
    <w:multiLevelType w:val="hybridMultilevel"/>
    <w:tmpl w:val="F404D566"/>
    <w:lvl w:ilvl="0" w:tplc="3B2089CA">
      <w:numFmt w:val="bullet"/>
      <w:lvlText w:val="•"/>
      <w:lvlJc w:val="left"/>
      <w:pPr>
        <w:ind w:left="1377" w:hanging="171"/>
      </w:pPr>
      <w:rPr>
        <w:rFonts w:ascii="Uni Sans Regular" w:eastAsia="Uni Sans Regular" w:hAnsi="Uni Sans Regular" w:cs="Uni Sans Regular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6B680D06">
      <w:numFmt w:val="bullet"/>
      <w:lvlText w:val="-"/>
      <w:lvlJc w:val="left"/>
      <w:pPr>
        <w:ind w:left="1604" w:hanging="171"/>
      </w:pPr>
      <w:rPr>
        <w:rFonts w:ascii="Uni Sans Regular" w:eastAsia="Uni Sans Regular" w:hAnsi="Uni Sans Regular" w:cs="Uni Sans Regular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2" w:tplc="FE767FFC">
      <w:numFmt w:val="bullet"/>
      <w:lvlText w:val="•"/>
      <w:lvlJc w:val="left"/>
      <w:pPr>
        <w:ind w:left="1881" w:hanging="171"/>
      </w:pPr>
      <w:rPr>
        <w:rFonts w:hint="default"/>
        <w:lang w:val="en-GB" w:eastAsia="en-GB" w:bidi="en-GB"/>
      </w:rPr>
    </w:lvl>
    <w:lvl w:ilvl="3" w:tplc="8E1C43B4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4" w:tplc="A6C8F6D0">
      <w:numFmt w:val="bullet"/>
      <w:lvlText w:val="•"/>
      <w:lvlJc w:val="left"/>
      <w:pPr>
        <w:ind w:left="2443" w:hanging="171"/>
      </w:pPr>
      <w:rPr>
        <w:rFonts w:hint="default"/>
        <w:lang w:val="en-GB" w:eastAsia="en-GB" w:bidi="en-GB"/>
      </w:rPr>
    </w:lvl>
    <w:lvl w:ilvl="5" w:tplc="12664E56">
      <w:numFmt w:val="bullet"/>
      <w:lvlText w:val="•"/>
      <w:lvlJc w:val="left"/>
      <w:pPr>
        <w:ind w:left="2725" w:hanging="171"/>
      </w:pPr>
      <w:rPr>
        <w:rFonts w:hint="default"/>
        <w:lang w:val="en-GB" w:eastAsia="en-GB" w:bidi="en-GB"/>
      </w:rPr>
    </w:lvl>
    <w:lvl w:ilvl="6" w:tplc="D07E2D46">
      <w:numFmt w:val="bullet"/>
      <w:lvlText w:val="•"/>
      <w:lvlJc w:val="left"/>
      <w:pPr>
        <w:ind w:left="3006" w:hanging="171"/>
      </w:pPr>
      <w:rPr>
        <w:rFonts w:hint="default"/>
        <w:lang w:val="en-GB" w:eastAsia="en-GB" w:bidi="en-GB"/>
      </w:rPr>
    </w:lvl>
    <w:lvl w:ilvl="7" w:tplc="31C02180">
      <w:numFmt w:val="bullet"/>
      <w:lvlText w:val="•"/>
      <w:lvlJc w:val="left"/>
      <w:pPr>
        <w:ind w:left="3287" w:hanging="171"/>
      </w:pPr>
      <w:rPr>
        <w:rFonts w:hint="default"/>
        <w:lang w:val="en-GB" w:eastAsia="en-GB" w:bidi="en-GB"/>
      </w:rPr>
    </w:lvl>
    <w:lvl w:ilvl="8" w:tplc="7C9A86E2">
      <w:numFmt w:val="bullet"/>
      <w:lvlText w:val="•"/>
      <w:lvlJc w:val="left"/>
      <w:pPr>
        <w:ind w:left="3569" w:hanging="171"/>
      </w:pPr>
      <w:rPr>
        <w:rFonts w:hint="default"/>
        <w:lang w:val="en-GB" w:eastAsia="en-GB" w:bidi="en-GB"/>
      </w:rPr>
    </w:lvl>
  </w:abstractNum>
  <w:abstractNum w:abstractNumId="3">
    <w:nsid w:val="2FEE6CAD"/>
    <w:multiLevelType w:val="hybridMultilevel"/>
    <w:tmpl w:val="CC5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2E57"/>
    <w:multiLevelType w:val="hybridMultilevel"/>
    <w:tmpl w:val="EB829784"/>
    <w:lvl w:ilvl="0" w:tplc="3A96F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1CD0"/>
    <w:multiLevelType w:val="hybridMultilevel"/>
    <w:tmpl w:val="D69A9348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D3D74A0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6F20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E64A6"/>
    <w:multiLevelType w:val="hybridMultilevel"/>
    <w:tmpl w:val="066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6F20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5366"/>
    <w:multiLevelType w:val="hybridMultilevel"/>
    <w:tmpl w:val="6562E7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F342AB1"/>
    <w:multiLevelType w:val="hybridMultilevel"/>
    <w:tmpl w:val="E772C074"/>
    <w:lvl w:ilvl="0" w:tplc="3A96F20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193B77"/>
    <w:multiLevelType w:val="hybridMultilevel"/>
    <w:tmpl w:val="272C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763FF"/>
    <w:multiLevelType w:val="hybridMultilevel"/>
    <w:tmpl w:val="EC9EE76C"/>
    <w:lvl w:ilvl="0" w:tplc="CABC3554">
      <w:numFmt w:val="bullet"/>
      <w:lvlText w:val="•"/>
      <w:lvlJc w:val="left"/>
      <w:pPr>
        <w:ind w:left="371" w:hanging="171"/>
      </w:pPr>
      <w:rPr>
        <w:rFonts w:ascii="Uni Sans Regular" w:eastAsia="Uni Sans Regular" w:hAnsi="Uni Sans Regular" w:cs="Uni Sans Regular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52F88D30">
      <w:numFmt w:val="bullet"/>
      <w:lvlText w:val="•"/>
      <w:lvlJc w:val="left"/>
      <w:pPr>
        <w:ind w:left="655" w:hanging="171"/>
      </w:pPr>
      <w:rPr>
        <w:rFonts w:hint="default"/>
        <w:lang w:val="en-GB" w:eastAsia="en-GB" w:bidi="en-GB"/>
      </w:rPr>
    </w:lvl>
    <w:lvl w:ilvl="2" w:tplc="E1C85024">
      <w:numFmt w:val="bullet"/>
      <w:lvlText w:val="•"/>
      <w:lvlJc w:val="left"/>
      <w:pPr>
        <w:ind w:left="931" w:hanging="171"/>
      </w:pPr>
      <w:rPr>
        <w:rFonts w:hint="default"/>
        <w:lang w:val="en-GB" w:eastAsia="en-GB" w:bidi="en-GB"/>
      </w:rPr>
    </w:lvl>
    <w:lvl w:ilvl="3" w:tplc="CD2489F6">
      <w:numFmt w:val="bullet"/>
      <w:lvlText w:val="•"/>
      <w:lvlJc w:val="left"/>
      <w:pPr>
        <w:ind w:left="1207" w:hanging="171"/>
      </w:pPr>
      <w:rPr>
        <w:rFonts w:hint="default"/>
        <w:lang w:val="en-GB" w:eastAsia="en-GB" w:bidi="en-GB"/>
      </w:rPr>
    </w:lvl>
    <w:lvl w:ilvl="4" w:tplc="038EC790">
      <w:numFmt w:val="bullet"/>
      <w:lvlText w:val="•"/>
      <w:lvlJc w:val="left"/>
      <w:pPr>
        <w:ind w:left="1483" w:hanging="171"/>
      </w:pPr>
      <w:rPr>
        <w:rFonts w:hint="default"/>
        <w:lang w:val="en-GB" w:eastAsia="en-GB" w:bidi="en-GB"/>
      </w:rPr>
    </w:lvl>
    <w:lvl w:ilvl="5" w:tplc="56F0D17E">
      <w:numFmt w:val="bullet"/>
      <w:lvlText w:val="•"/>
      <w:lvlJc w:val="left"/>
      <w:pPr>
        <w:ind w:left="1759" w:hanging="171"/>
      </w:pPr>
      <w:rPr>
        <w:rFonts w:hint="default"/>
        <w:lang w:val="en-GB" w:eastAsia="en-GB" w:bidi="en-GB"/>
      </w:rPr>
    </w:lvl>
    <w:lvl w:ilvl="6" w:tplc="767A9C98">
      <w:numFmt w:val="bullet"/>
      <w:lvlText w:val="•"/>
      <w:lvlJc w:val="left"/>
      <w:pPr>
        <w:ind w:left="2035" w:hanging="171"/>
      </w:pPr>
      <w:rPr>
        <w:rFonts w:hint="default"/>
        <w:lang w:val="en-GB" w:eastAsia="en-GB" w:bidi="en-GB"/>
      </w:rPr>
    </w:lvl>
    <w:lvl w:ilvl="7" w:tplc="109A63FE">
      <w:numFmt w:val="bullet"/>
      <w:lvlText w:val="•"/>
      <w:lvlJc w:val="left"/>
      <w:pPr>
        <w:ind w:left="2311" w:hanging="171"/>
      </w:pPr>
      <w:rPr>
        <w:rFonts w:hint="default"/>
        <w:lang w:val="en-GB" w:eastAsia="en-GB" w:bidi="en-GB"/>
      </w:rPr>
    </w:lvl>
    <w:lvl w:ilvl="8" w:tplc="83AAA5AC">
      <w:numFmt w:val="bullet"/>
      <w:lvlText w:val="•"/>
      <w:lvlJc w:val="left"/>
      <w:pPr>
        <w:ind w:left="2587" w:hanging="17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0424"/>
    <w:rsid w:val="00025CD7"/>
    <w:rsid w:val="00073FDB"/>
    <w:rsid w:val="00080424"/>
    <w:rsid w:val="00144A92"/>
    <w:rsid w:val="00164BAB"/>
    <w:rsid w:val="001B313B"/>
    <w:rsid w:val="002016BA"/>
    <w:rsid w:val="00232453"/>
    <w:rsid w:val="0030501E"/>
    <w:rsid w:val="003D2424"/>
    <w:rsid w:val="0045564F"/>
    <w:rsid w:val="00484C7F"/>
    <w:rsid w:val="005B5F04"/>
    <w:rsid w:val="00931431"/>
    <w:rsid w:val="00BA2409"/>
    <w:rsid w:val="00C36CE1"/>
    <w:rsid w:val="00E10C0B"/>
    <w:rsid w:val="00ED75B9"/>
    <w:rsid w:val="00EF01BD"/>
    <w:rsid w:val="00F4162D"/>
    <w:rsid w:val="00F95239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56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Uni Sans Regular" w:eastAsia="Uni Sans Regular" w:hAnsi="Uni Sans Regular" w:cs="Uni Sans Regular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7"/>
      <w:outlineLvl w:val="0"/>
    </w:pPr>
    <w:rPr>
      <w:rFonts w:ascii="Uni Sans Light" w:eastAsia="Uni Sans Light" w:hAnsi="Uni Sans Light" w:cs="Uni Sans Light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11"/>
      <w:ind w:left="2355" w:right="1739"/>
      <w:outlineLvl w:val="1"/>
    </w:pPr>
  </w:style>
  <w:style w:type="paragraph" w:styleId="Heading3">
    <w:name w:val="heading 3"/>
    <w:basedOn w:val="Normal"/>
    <w:uiPriority w:val="1"/>
    <w:qFormat/>
    <w:pPr>
      <w:spacing w:before="67"/>
      <w:ind w:left="201"/>
      <w:outlineLvl w:val="2"/>
    </w:pPr>
    <w:rPr>
      <w:rFonts w:ascii="Uni Sans SemiBold" w:eastAsia="Uni Sans SemiBold" w:hAnsi="Uni Sans SemiBold" w:cs="Uni Sans 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4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2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53"/>
    <w:rPr>
      <w:rFonts w:ascii="Uni Sans Regular" w:eastAsia="Uni Sans Regular" w:hAnsi="Uni Sans Regular" w:cs="Uni Sans Regular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32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53"/>
    <w:rPr>
      <w:rFonts w:ascii="Uni Sans Regular" w:eastAsia="Uni Sans Regular" w:hAnsi="Uni Sans Regular" w:cs="Uni Sans Regular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Zammit</cp:lastModifiedBy>
  <cp:revision>5</cp:revision>
  <dcterms:created xsi:type="dcterms:W3CDTF">2018-12-18T12:34:00Z</dcterms:created>
  <dcterms:modified xsi:type="dcterms:W3CDTF">2018-12-18T12:49:00Z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2018-12-17T00:00:00Z</vt:filetime>
  </property>
</Properties>
</file>